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6E5E7" w14:textId="77777777" w:rsidR="006711BC" w:rsidRDefault="006711BC">
      <w:pPr>
        <w:jc w:val="center"/>
        <w:rPr>
          <w:rFonts w:ascii="Calibri" w:hAnsi="Calibri"/>
        </w:rPr>
      </w:pPr>
    </w:p>
    <w:p w14:paraId="54BEAEFA" w14:textId="77777777" w:rsidR="006711BC" w:rsidRDefault="00B40646">
      <w:pPr>
        <w:pStyle w:val="Rigadintestazione"/>
        <w:jc w:val="center"/>
        <w:rPr>
          <w:rFonts w:hint="eastAsia"/>
          <w:color w:val="CC0000"/>
        </w:rPr>
      </w:pPr>
      <w:r>
        <w:rPr>
          <w:rFonts w:ascii="Calibri" w:eastAsia="DejaVu Sans" w:hAnsi="Calibri" w:cs="Nimbus Roman No9 L;Times New Ro"/>
          <w:b/>
          <w:bCs/>
          <w:color w:val="CC0000"/>
          <w:sz w:val="28"/>
          <w:szCs w:val="28"/>
          <w:lang w:bidi="ar-SA"/>
        </w:rPr>
        <w:t>GLT CONSUMO CRITICO E PROMOZIONE RETI ECONOMIA SOLIDALE</w:t>
      </w:r>
    </w:p>
    <w:p w14:paraId="324B816A" w14:textId="77777777" w:rsidR="006711BC" w:rsidRDefault="00B40646">
      <w:pPr>
        <w:pStyle w:val="Rigadintestazione"/>
        <w:jc w:val="center"/>
        <w:rPr>
          <w:rFonts w:hint="eastAsia"/>
          <w:color w:val="CC0000"/>
        </w:rPr>
      </w:pPr>
      <w:r>
        <w:rPr>
          <w:rFonts w:ascii="Calibri" w:eastAsia="DejaVu Sans" w:hAnsi="Calibri" w:cs="Nimbus Roman No9 L;Times New Ro"/>
          <w:b/>
          <w:bCs/>
          <w:color w:val="000000"/>
          <w:sz w:val="28"/>
          <w:szCs w:val="28"/>
          <w:lang w:bidi="ar-SA"/>
        </w:rPr>
        <w:t>Linea 1 - II° mappatura dei soggetti e delle reti dell’economia solidale.</w:t>
      </w:r>
    </w:p>
    <w:p w14:paraId="15B09C1F" w14:textId="77777777" w:rsidR="006711BC" w:rsidRDefault="006711BC">
      <w:pPr>
        <w:pStyle w:val="Rigadintestazione"/>
        <w:rPr>
          <w:rFonts w:ascii="Calibri" w:eastAsia="DejaVu Sans" w:hAnsi="Calibri" w:cs="Nimbus Roman No9 L;Times New Ro"/>
          <w:b/>
          <w:bCs/>
          <w:color w:val="000000"/>
          <w:lang w:bidi="ar-SA"/>
        </w:rPr>
      </w:pPr>
    </w:p>
    <w:p w14:paraId="33621838" w14:textId="77777777" w:rsidR="006711BC" w:rsidRDefault="00B40646">
      <w:pPr>
        <w:pStyle w:val="Rigadintestazione"/>
        <w:rPr>
          <w:rFonts w:hint="eastAsia"/>
        </w:rPr>
      </w:pPr>
      <w:r>
        <w:rPr>
          <w:rFonts w:ascii="Calibri" w:eastAsia="DejaVu Sans" w:hAnsi="Calibri" w:cs="Nimbus Roman No9 L;Times New Ro"/>
          <w:b/>
          <w:bCs/>
          <w:color w:val="000000"/>
          <w:lang w:bidi="ar-SA"/>
        </w:rPr>
        <w:t xml:space="preserve">Gruppo di lavoro </w:t>
      </w:r>
    </w:p>
    <w:p w14:paraId="5547F6B5" w14:textId="77777777" w:rsidR="006711BC" w:rsidRDefault="00B40646">
      <w:pPr>
        <w:pStyle w:val="Rigadintestazione"/>
        <w:jc w:val="both"/>
        <w:rPr>
          <w:rFonts w:hint="eastAsia"/>
          <w:sz w:val="22"/>
          <w:szCs w:val="22"/>
        </w:rPr>
      </w:pPr>
      <w:proofErr w:type="spellStart"/>
      <w:r>
        <w:rPr>
          <w:rFonts w:ascii="Calibri" w:eastAsia="DejaVu Sans" w:hAnsi="Calibri" w:cs="Nimbus Roman No9 L;Times New Ro"/>
          <w:color w:val="000000"/>
          <w:sz w:val="22"/>
          <w:szCs w:val="22"/>
          <w:lang w:bidi="ar-SA"/>
        </w:rPr>
        <w:t>FSabina</w:t>
      </w:r>
      <w:proofErr w:type="spellEnd"/>
      <w:r>
        <w:rPr>
          <w:rFonts w:ascii="Calibri" w:eastAsia="DejaVu Sans" w:hAnsi="Calibri" w:cs="Nimbus Roman No9 L;Times New Ro"/>
          <w:color w:val="000000"/>
          <w:sz w:val="22"/>
          <w:szCs w:val="22"/>
          <w:lang w:bidi="ar-SA"/>
        </w:rPr>
        <w:t xml:space="preserve"> </w:t>
      </w:r>
      <w:proofErr w:type="spellStart"/>
      <w:r>
        <w:rPr>
          <w:rFonts w:ascii="Calibri" w:eastAsia="DejaVu Sans" w:hAnsi="Calibri" w:cs="Nimbus Roman No9 L;Times New Ro"/>
          <w:color w:val="000000"/>
          <w:sz w:val="22"/>
          <w:szCs w:val="22"/>
          <w:lang w:bidi="ar-SA"/>
        </w:rPr>
        <w:t>Breveglieri</w:t>
      </w:r>
      <w:proofErr w:type="spellEnd"/>
      <w:r>
        <w:rPr>
          <w:rFonts w:ascii="Calibri" w:eastAsia="DejaVu Sans" w:hAnsi="Calibri" w:cs="Nimbus Roman No9 L;Times New Ro"/>
          <w:color w:val="000000"/>
          <w:sz w:val="22"/>
          <w:szCs w:val="22"/>
          <w:lang w:bidi="ar-SA"/>
        </w:rPr>
        <w:t xml:space="preserve">, Laura Biondi, Andrea Bonvicini, Fulvio Bucci, Stefano Carati, Davide Conti, Maurizio </w:t>
      </w:r>
      <w:proofErr w:type="spellStart"/>
      <w:r>
        <w:rPr>
          <w:rFonts w:ascii="Calibri" w:eastAsia="DejaVu Sans" w:hAnsi="Calibri" w:cs="Nimbus Roman No9 L;Times New Ro"/>
          <w:color w:val="000000"/>
          <w:sz w:val="22"/>
          <w:szCs w:val="22"/>
          <w:lang w:bidi="ar-SA"/>
        </w:rPr>
        <w:t>Davolio</w:t>
      </w:r>
      <w:proofErr w:type="spellEnd"/>
      <w:r>
        <w:rPr>
          <w:rFonts w:ascii="Calibri" w:eastAsia="DejaVu Sans" w:hAnsi="Calibri" w:cs="Nimbus Roman No9 L;Times New Ro"/>
          <w:color w:val="000000"/>
          <w:sz w:val="22"/>
          <w:szCs w:val="22"/>
          <w:lang w:bidi="ar-SA"/>
        </w:rPr>
        <w:t xml:space="preserve">, Dalma </w:t>
      </w:r>
      <w:proofErr w:type="spellStart"/>
      <w:r>
        <w:rPr>
          <w:rFonts w:ascii="Calibri" w:eastAsia="DejaVu Sans" w:hAnsi="Calibri" w:cs="Nimbus Roman No9 L;Times New Ro"/>
          <w:color w:val="000000"/>
          <w:sz w:val="22"/>
          <w:szCs w:val="22"/>
          <w:lang w:bidi="ar-SA"/>
        </w:rPr>
        <w:t>Domeneghini</w:t>
      </w:r>
      <w:proofErr w:type="spellEnd"/>
      <w:r>
        <w:rPr>
          <w:rFonts w:ascii="Calibri" w:eastAsia="DejaVu Sans" w:hAnsi="Calibri" w:cs="Nimbus Roman No9 L;Times New Ro"/>
          <w:color w:val="000000"/>
          <w:sz w:val="22"/>
          <w:szCs w:val="22"/>
          <w:lang w:bidi="ar-SA"/>
        </w:rPr>
        <w:t xml:space="preserve">, Vittorio Gimigliano, Giulia </w:t>
      </w:r>
      <w:proofErr w:type="spellStart"/>
      <w:r>
        <w:rPr>
          <w:rFonts w:ascii="Calibri" w:eastAsia="DejaVu Sans" w:hAnsi="Calibri" w:cs="Nimbus Roman No9 L;Times New Ro"/>
          <w:color w:val="000000"/>
          <w:sz w:val="22"/>
          <w:szCs w:val="22"/>
          <w:lang w:bidi="ar-SA"/>
        </w:rPr>
        <w:t>Landriscina</w:t>
      </w:r>
      <w:proofErr w:type="spellEnd"/>
      <w:r>
        <w:rPr>
          <w:rFonts w:ascii="Calibri" w:eastAsia="DejaVu Sans" w:hAnsi="Calibri" w:cs="Nimbus Roman No9 L;Times New Ro"/>
          <w:color w:val="000000"/>
          <w:sz w:val="22"/>
          <w:szCs w:val="22"/>
          <w:lang w:bidi="ar-SA"/>
        </w:rPr>
        <w:t xml:space="preserve">, Carlo Lugli, Pietro Passarella, Katia </w:t>
      </w:r>
      <w:proofErr w:type="spellStart"/>
      <w:r>
        <w:rPr>
          <w:rFonts w:ascii="Calibri" w:eastAsia="DejaVu Sans" w:hAnsi="Calibri" w:cs="Nimbus Roman No9 L;Times New Ro"/>
          <w:color w:val="000000"/>
          <w:sz w:val="22"/>
          <w:szCs w:val="22"/>
          <w:lang w:bidi="ar-SA"/>
        </w:rPr>
        <w:t>Rindone</w:t>
      </w:r>
      <w:proofErr w:type="spellEnd"/>
      <w:r>
        <w:rPr>
          <w:rFonts w:ascii="Calibri" w:eastAsia="DejaVu Sans" w:hAnsi="Calibri" w:cs="Nimbus Roman No9 L;Times New Ro"/>
          <w:color w:val="000000"/>
          <w:sz w:val="22"/>
          <w:szCs w:val="22"/>
          <w:lang w:bidi="ar-SA"/>
        </w:rPr>
        <w:t xml:space="preserve">, Mauro Serventi, Carlotta </w:t>
      </w:r>
      <w:proofErr w:type="spellStart"/>
      <w:r>
        <w:rPr>
          <w:rFonts w:ascii="Calibri" w:eastAsia="DejaVu Sans" w:hAnsi="Calibri" w:cs="Nimbus Roman No9 L;Times New Ro"/>
          <w:color w:val="000000"/>
          <w:sz w:val="22"/>
          <w:szCs w:val="22"/>
          <w:lang w:bidi="ar-SA"/>
        </w:rPr>
        <w:t>Taddei</w:t>
      </w:r>
      <w:proofErr w:type="spellEnd"/>
      <w:r>
        <w:rPr>
          <w:rFonts w:ascii="Calibri" w:eastAsia="DejaVu Sans" w:hAnsi="Calibri" w:cs="Nimbus Roman No9 L;Times New Ro"/>
          <w:color w:val="000000"/>
          <w:sz w:val="22"/>
          <w:szCs w:val="22"/>
          <w:lang w:bidi="ar-SA"/>
        </w:rPr>
        <w:t xml:space="preserve">, Dario </w:t>
      </w:r>
      <w:proofErr w:type="spellStart"/>
      <w:r>
        <w:rPr>
          <w:rFonts w:ascii="Calibri" w:eastAsia="DejaVu Sans" w:hAnsi="Calibri" w:cs="Nimbus Roman No9 L;Times New Ro"/>
          <w:color w:val="000000"/>
          <w:sz w:val="22"/>
          <w:szCs w:val="22"/>
          <w:lang w:bidi="ar-SA"/>
        </w:rPr>
        <w:t>Tuorto</w:t>
      </w:r>
      <w:proofErr w:type="spellEnd"/>
      <w:r>
        <w:rPr>
          <w:rFonts w:ascii="Calibri" w:eastAsia="DejaVu Sans" w:hAnsi="Calibri" w:cs="Nimbus Roman No9 L;Times New Ro"/>
          <w:color w:val="000000"/>
          <w:sz w:val="22"/>
          <w:szCs w:val="22"/>
          <w:lang w:bidi="ar-SA"/>
        </w:rPr>
        <w:t>.</w:t>
      </w:r>
    </w:p>
    <w:p w14:paraId="44D059D7" w14:textId="77777777" w:rsidR="006711BC" w:rsidRDefault="00B40646">
      <w:pPr>
        <w:pStyle w:val="Rigadintestazione"/>
        <w:spacing w:before="57"/>
        <w:rPr>
          <w:rFonts w:hint="eastAsia"/>
        </w:rPr>
      </w:pPr>
      <w:r>
        <w:rPr>
          <w:rFonts w:ascii="Calibri" w:eastAsia="DejaVu Sans" w:hAnsi="Calibri" w:cs="Nimbus Roman No9 L;Times New Ro"/>
          <w:b/>
          <w:bCs/>
          <w:color w:val="000000"/>
          <w:lang w:bidi="ar-SA"/>
        </w:rPr>
        <w:t>Referenti del GLT al Tavolo Permanente</w:t>
      </w:r>
    </w:p>
    <w:p w14:paraId="08137004" w14:textId="77777777" w:rsidR="006711BC" w:rsidRDefault="00B40646">
      <w:pPr>
        <w:pStyle w:val="Rigadintestazione"/>
        <w:rPr>
          <w:rFonts w:hint="eastAsia"/>
          <w:sz w:val="22"/>
          <w:szCs w:val="22"/>
        </w:rPr>
      </w:pPr>
      <w:r>
        <w:rPr>
          <w:rFonts w:ascii="Calibri" w:eastAsia="DejaVu Sans" w:hAnsi="Calibri" w:cs="Nimbus Roman No9 L;Times New Ro"/>
          <w:color w:val="000000"/>
          <w:sz w:val="22"/>
          <w:szCs w:val="22"/>
          <w:lang w:bidi="ar-SA"/>
        </w:rPr>
        <w:t xml:space="preserve">Giulia </w:t>
      </w:r>
      <w:proofErr w:type="spellStart"/>
      <w:proofErr w:type="gramStart"/>
      <w:r>
        <w:rPr>
          <w:rFonts w:ascii="Calibri" w:eastAsia="DejaVu Sans" w:hAnsi="Calibri" w:cs="Nimbus Roman No9 L;Times New Ro"/>
          <w:color w:val="000000"/>
          <w:sz w:val="22"/>
          <w:szCs w:val="22"/>
          <w:lang w:bidi="ar-SA"/>
        </w:rPr>
        <w:t>Landriscina</w:t>
      </w:r>
      <w:proofErr w:type="spellEnd"/>
      <w:r>
        <w:rPr>
          <w:rFonts w:ascii="Calibri" w:eastAsia="DejaVu Sans" w:hAnsi="Calibri" w:cs="Nimbus Roman No9 L;Times New Ro"/>
          <w:color w:val="000000"/>
          <w:sz w:val="22"/>
          <w:szCs w:val="22"/>
          <w:lang w:bidi="ar-SA"/>
        </w:rPr>
        <w:t xml:space="preserve"> ,</w:t>
      </w:r>
      <w:proofErr w:type="gramEnd"/>
      <w:r>
        <w:rPr>
          <w:rFonts w:ascii="Calibri" w:eastAsia="DejaVu Sans" w:hAnsi="Calibri" w:cs="Nimbus Roman No9 L;Times New Ro"/>
          <w:color w:val="000000"/>
          <w:sz w:val="22"/>
          <w:szCs w:val="22"/>
          <w:lang w:bidi="ar-SA"/>
        </w:rPr>
        <w:t xml:space="preserve"> Stefano Carati.</w:t>
      </w:r>
    </w:p>
    <w:p w14:paraId="6CBCF3EF" w14:textId="77777777" w:rsidR="006711BC" w:rsidRDefault="00B40646">
      <w:pPr>
        <w:pStyle w:val="Rigadintestazione"/>
        <w:spacing w:before="57"/>
        <w:rPr>
          <w:rFonts w:hint="eastAsia"/>
        </w:rPr>
      </w:pPr>
      <w:r>
        <w:rPr>
          <w:rFonts w:ascii="Calibri" w:eastAsia="DejaVu Sans" w:hAnsi="Calibri" w:cs="Nimbus Roman No9 L;Times New Ro"/>
          <w:b/>
          <w:bCs/>
          <w:color w:val="000000"/>
          <w:lang w:bidi="ar-SA"/>
        </w:rPr>
        <w:t xml:space="preserve">Descrizione della proposta </w:t>
      </w:r>
    </w:p>
    <w:p w14:paraId="27E717A7" w14:textId="77777777" w:rsidR="006711BC" w:rsidRDefault="00B40646">
      <w:pPr>
        <w:pStyle w:val="Rigadintestazione"/>
        <w:jc w:val="both"/>
        <w:rPr>
          <w:rFonts w:hint="eastAsia"/>
        </w:rPr>
      </w:pPr>
      <w:r>
        <w:rPr>
          <w:rFonts w:ascii="Calibri" w:eastAsia="DejaVu Sans" w:hAnsi="Calibri" w:cs="Nimbus Roman No9 L;Times New Ro"/>
          <w:color w:val="000000"/>
          <w:sz w:val="22"/>
          <w:szCs w:val="22"/>
          <w:lang w:bidi="ar-SA"/>
        </w:rPr>
        <w:t xml:space="preserve">Nel periodo 2018-2019 il GLT Reti (con il supporto di ERVET) ha condotto una rilevazione esplorativa sulle realtà che gravitano in Emilia Romagna attorno al mondo dell’economia solidale (circa </w:t>
      </w:r>
      <w:proofErr w:type="spellStart"/>
      <w:r>
        <w:rPr>
          <w:rFonts w:ascii="Calibri" w:eastAsia="DejaVu Sans" w:hAnsi="Calibri" w:cs="Nimbus Roman No9 L;Times New Ro"/>
          <w:color w:val="000000"/>
          <w:sz w:val="22"/>
          <w:szCs w:val="22"/>
          <w:lang w:bidi="ar-SA"/>
        </w:rPr>
        <w:t>circa</w:t>
      </w:r>
      <w:proofErr w:type="spellEnd"/>
      <w:r>
        <w:rPr>
          <w:rFonts w:ascii="Calibri" w:eastAsia="DejaVu Sans" w:hAnsi="Calibri" w:cs="Nimbus Roman No9 L;Times New Ro"/>
          <w:color w:val="000000"/>
          <w:sz w:val="22"/>
          <w:szCs w:val="22"/>
          <w:lang w:bidi="ar-SA"/>
        </w:rPr>
        <w:t xml:space="preserve"> 90 soggetti appartenenti al mondo dei produttori, delle associazioni e cooperative, dei consumatori). Attraverso la ricerca sono state acquisite informazioni su attività, progetti, reti, nonché sulla dimensione valoriale alla base del lavoro svolto. La proposta intende proseguire il lavoro attraverso uno studio articolato in due fasi, in coerenza con </w:t>
      </w:r>
      <w:r>
        <w:rPr>
          <w:rStyle w:val="Enfasiforte"/>
          <w:rFonts w:ascii="Calibri" w:eastAsia="DejaVu Sans" w:hAnsi="Calibri" w:cs="Nimbus Roman No9 L;Times New Ro"/>
          <w:b w:val="0"/>
          <w:bCs w:val="0"/>
          <w:color w:val="000000"/>
          <w:sz w:val="22"/>
          <w:szCs w:val="22"/>
          <w:lang w:bidi="ar-SA"/>
        </w:rPr>
        <w:t>la L.R. 19/2014 "</w:t>
      </w:r>
      <w:r>
        <w:rPr>
          <w:rStyle w:val="Enfasiforte"/>
          <w:rFonts w:ascii="Calibri" w:eastAsia="DejaVu Sans" w:hAnsi="Calibri" w:cs="Nimbus Roman No9 L;Times New Ro"/>
          <w:b w:val="0"/>
          <w:bCs w:val="0"/>
          <w:i/>
          <w:iCs/>
          <w:color w:val="000000"/>
          <w:sz w:val="22"/>
          <w:szCs w:val="22"/>
          <w:lang w:bidi="ar-SA"/>
        </w:rPr>
        <w:t>Art. 4</w:t>
      </w:r>
      <w:r>
        <w:rPr>
          <w:rFonts w:ascii="Calibri" w:eastAsia="DejaVu Sans" w:hAnsi="Calibri" w:cs="Nimbus Roman No9 L;Times New Ro"/>
          <w:i/>
          <w:iCs/>
          <w:color w:val="000000"/>
          <w:sz w:val="22"/>
          <w:szCs w:val="22"/>
          <w:lang w:bidi="ar-SA"/>
        </w:rPr>
        <w:t xml:space="preserve"> Misure di sostegno - </w:t>
      </w:r>
      <w:r>
        <w:rPr>
          <w:rStyle w:val="Enfasiforte"/>
          <w:rFonts w:ascii="Calibri" w:eastAsia="DejaVu Sans" w:hAnsi="Calibri" w:cs="Nimbus Roman No9 L;Times New Ro"/>
          <w:b w:val="0"/>
          <w:bCs w:val="0"/>
          <w:color w:val="000000"/>
          <w:sz w:val="22"/>
          <w:szCs w:val="22"/>
          <w:lang w:bidi="ar-SA"/>
        </w:rPr>
        <w:t>1.</w:t>
      </w:r>
      <w:r>
        <w:rPr>
          <w:rStyle w:val="Enfasiforte"/>
          <w:rFonts w:ascii="Calibri" w:eastAsia="DejaVu Sans" w:hAnsi="Calibri" w:cs="Nimbus Roman No9 L;Times New Ro"/>
          <w:b w:val="0"/>
          <w:bCs w:val="0"/>
          <w:i/>
          <w:iCs/>
          <w:color w:val="000000"/>
          <w:sz w:val="22"/>
          <w:szCs w:val="22"/>
          <w:lang w:bidi="ar-SA"/>
        </w:rPr>
        <w:t xml:space="preserve"> </w:t>
      </w:r>
      <w:r>
        <w:rPr>
          <w:rFonts w:ascii="Calibri" w:eastAsia="DejaVu Sans" w:hAnsi="Calibri" w:cs="Nimbus Roman No9 L;Times New Ro"/>
          <w:i/>
          <w:iCs/>
          <w:color w:val="000000"/>
          <w:sz w:val="22"/>
          <w:szCs w:val="22"/>
          <w:lang w:bidi="ar-SA"/>
        </w:rPr>
        <w:t xml:space="preserve">La Regione Emilia-Romagna, nell’ambito del proprio sistema di decentramento territoriale e attraverso il coinvolgimento e la collaborazione degli Enti Locali e degli altri soggetti istituzionali, nei limiti delle rispettive competenze, ai sensi di quanto previsto all’articolo 2, adotta iniziative e interventi volti a valorizzare, promuovere e sostenere: </w:t>
      </w:r>
      <w:proofErr w:type="spellStart"/>
      <w:r>
        <w:rPr>
          <w:rStyle w:val="Enfasiforte"/>
          <w:rFonts w:ascii="Calibri" w:eastAsia="DejaVu Sans" w:hAnsi="Calibri" w:cs="Nimbus Roman No9 L;Times New Ro"/>
          <w:b w:val="0"/>
          <w:bCs w:val="0"/>
          <w:color w:val="000000"/>
          <w:sz w:val="22"/>
          <w:szCs w:val="22"/>
          <w:lang w:bidi="ar-SA"/>
        </w:rPr>
        <w:t>lett</w:t>
      </w:r>
      <w:proofErr w:type="spellEnd"/>
      <w:r>
        <w:rPr>
          <w:rStyle w:val="Enfasiforte"/>
          <w:rFonts w:ascii="Calibri" w:eastAsia="DejaVu Sans" w:hAnsi="Calibri" w:cs="Nimbus Roman No9 L;Times New Ro"/>
          <w:b w:val="0"/>
          <w:bCs w:val="0"/>
          <w:color w:val="000000"/>
          <w:sz w:val="22"/>
          <w:szCs w:val="22"/>
          <w:lang w:bidi="ar-SA"/>
        </w:rPr>
        <w:t>. c)</w:t>
      </w:r>
      <w:r>
        <w:rPr>
          <w:rFonts w:ascii="Calibri" w:eastAsia="DejaVu Sans" w:hAnsi="Calibri" w:cs="Nimbus Roman No9 L;Times New Ro"/>
          <w:i/>
          <w:iCs/>
          <w:color w:val="000000"/>
          <w:sz w:val="22"/>
          <w:szCs w:val="22"/>
          <w:lang w:bidi="ar-SA"/>
        </w:rPr>
        <w:t xml:space="preserve"> nel settore dei beni comuni e dei servizi collettivi: </w:t>
      </w:r>
      <w:r>
        <w:rPr>
          <w:rStyle w:val="Enfasiforte"/>
          <w:rFonts w:ascii="Calibri" w:eastAsia="DejaVu Sans" w:hAnsi="Calibri" w:cs="Nimbus Roman No9 L;Times New Ro"/>
          <w:b w:val="0"/>
          <w:bCs w:val="0"/>
          <w:i/>
          <w:iCs/>
          <w:color w:val="000000"/>
          <w:sz w:val="22"/>
          <w:szCs w:val="22"/>
          <w:lang w:bidi="ar-SA"/>
        </w:rPr>
        <w:t>punto 1</w:t>
      </w:r>
      <w:r>
        <w:rPr>
          <w:rFonts w:ascii="Calibri" w:eastAsia="DejaVu Sans" w:hAnsi="Calibri" w:cs="Nimbus Roman No9 L;Times New Ro"/>
          <w:i/>
          <w:iCs/>
          <w:color w:val="000000"/>
          <w:sz w:val="22"/>
          <w:szCs w:val="22"/>
          <w:lang w:bidi="ar-SA"/>
        </w:rPr>
        <w:t>) favorendo la realizzazione di progetti promossi in tale ambito dai soggetti dell’Economia Solidale di cui all’art. 2 lettera a) della presente legge</w:t>
      </w:r>
      <w:r>
        <w:rPr>
          <w:rFonts w:ascii="Calibri" w:eastAsia="DejaVu Sans" w:hAnsi="Calibri" w:cs="Nimbus Roman No9 L;Times New Ro"/>
          <w:color w:val="000000"/>
          <w:sz w:val="22"/>
          <w:szCs w:val="22"/>
          <w:lang w:bidi="ar-SA"/>
        </w:rPr>
        <w:t>".</w:t>
      </w:r>
    </w:p>
    <w:p w14:paraId="67833702" w14:textId="77777777" w:rsidR="006711BC" w:rsidRDefault="00B40646">
      <w:pPr>
        <w:pStyle w:val="Rigadintestazione"/>
        <w:jc w:val="both"/>
        <w:rPr>
          <w:rFonts w:hint="eastAsia"/>
          <w:sz w:val="22"/>
          <w:szCs w:val="22"/>
        </w:rPr>
      </w:pPr>
      <w:r>
        <w:rPr>
          <w:rFonts w:ascii="Calibri" w:eastAsia="DejaVu Sans" w:hAnsi="Calibri" w:cs="Nimbus Roman No9 L;Times New Ro"/>
          <w:color w:val="000000"/>
          <w:sz w:val="22"/>
          <w:szCs w:val="22"/>
          <w:lang w:bidi="ar-SA"/>
        </w:rPr>
        <w:t>Nella prima fase si proseguirà con l’</w:t>
      </w:r>
      <w:r>
        <w:rPr>
          <w:rFonts w:ascii="Calibri" w:eastAsia="DejaVu Sans" w:hAnsi="Calibri" w:cs="Nimbus Roman No9 L;Times New Ro"/>
          <w:b/>
          <w:bCs/>
          <w:color w:val="000000"/>
          <w:sz w:val="22"/>
          <w:szCs w:val="22"/>
          <w:lang w:bidi="ar-SA"/>
        </w:rPr>
        <w:t>aggiornamento della mappatura esistente</w:t>
      </w:r>
      <w:r>
        <w:rPr>
          <w:rFonts w:ascii="Calibri" w:eastAsia="DejaVu Sans" w:hAnsi="Calibri" w:cs="Nimbus Roman No9 L;Times New Ro"/>
          <w:color w:val="000000"/>
          <w:sz w:val="22"/>
          <w:szCs w:val="22"/>
          <w:lang w:bidi="ar-SA"/>
        </w:rPr>
        <w:t xml:space="preserve"> prestando particolare attenzione all’acquisizione di informazioni su soggetti e realtà territoriali non ancora rilevate. La seconda fase della proposta prevede un </w:t>
      </w:r>
      <w:r>
        <w:rPr>
          <w:rFonts w:ascii="Calibri" w:eastAsia="DejaVu Sans" w:hAnsi="Calibri" w:cs="Nimbus Roman No9 L;Times New Ro"/>
          <w:b/>
          <w:bCs/>
          <w:color w:val="000000"/>
          <w:sz w:val="22"/>
          <w:szCs w:val="22"/>
          <w:lang w:bidi="ar-SA"/>
        </w:rPr>
        <w:t>focus tematico</w:t>
      </w:r>
      <w:r>
        <w:rPr>
          <w:rFonts w:ascii="Calibri" w:eastAsia="DejaVu Sans" w:hAnsi="Calibri" w:cs="Nimbus Roman No9 L;Times New Ro"/>
          <w:color w:val="000000"/>
          <w:sz w:val="22"/>
          <w:szCs w:val="22"/>
          <w:lang w:bidi="ar-SA"/>
        </w:rPr>
        <w:t xml:space="preserve"> su un campo specifico di attività, che verrà studiato con il ricorso a strumenti di carattere prettamente qualitativo (interviste in presenza, focus </w:t>
      </w:r>
      <w:proofErr w:type="spellStart"/>
      <w:r>
        <w:rPr>
          <w:rFonts w:ascii="Calibri" w:eastAsia="DejaVu Sans" w:hAnsi="Calibri" w:cs="Nimbus Roman No9 L;Times New Ro"/>
          <w:color w:val="000000"/>
          <w:sz w:val="22"/>
          <w:szCs w:val="22"/>
          <w:lang w:bidi="ar-SA"/>
        </w:rPr>
        <w:t>group</w:t>
      </w:r>
      <w:proofErr w:type="spellEnd"/>
      <w:r>
        <w:rPr>
          <w:rFonts w:ascii="Calibri" w:eastAsia="DejaVu Sans" w:hAnsi="Calibri" w:cs="Nimbus Roman No9 L;Times New Ro"/>
          <w:color w:val="000000"/>
          <w:sz w:val="22"/>
          <w:szCs w:val="22"/>
          <w:lang w:bidi="ar-SA"/>
        </w:rPr>
        <w:t xml:space="preserve">, ecc.) e avente per oggetto di studio l’area della “Produzione biologica/agricoltura contadina di prossimità”. Il lavoro di ricerca sarà realizzato nel corso del 2021-2022 (primo semestre) e verrà monitorato dall’Osservatorio dell’economia solidale. </w:t>
      </w:r>
    </w:p>
    <w:p w14:paraId="2FE243A9" w14:textId="77777777" w:rsidR="006711BC" w:rsidRDefault="00B40646">
      <w:pPr>
        <w:pStyle w:val="Rigadintestazione"/>
        <w:spacing w:before="57"/>
        <w:rPr>
          <w:rFonts w:hint="eastAsia"/>
          <w:sz w:val="22"/>
          <w:szCs w:val="22"/>
        </w:rPr>
      </w:pPr>
      <w:proofErr w:type="spellStart"/>
      <w:r>
        <w:rPr>
          <w:rFonts w:ascii="Calibri" w:eastAsia="DejaVu Sans" w:hAnsi="Calibri" w:cs="Nimbus Roman No9 L;Times New Ro"/>
          <w:b/>
          <w:bCs/>
          <w:color w:val="000000"/>
          <w:sz w:val="22"/>
          <w:szCs w:val="22"/>
          <w:lang w:bidi="ar-SA"/>
        </w:rPr>
        <w:t>Perchè</w:t>
      </w:r>
      <w:proofErr w:type="spellEnd"/>
      <w:r>
        <w:rPr>
          <w:rFonts w:ascii="Calibri" w:eastAsia="DejaVu Sans" w:hAnsi="Calibri" w:cs="Nimbus Roman No9 L;Times New Ro"/>
          <w:b/>
          <w:bCs/>
          <w:color w:val="000000"/>
          <w:sz w:val="22"/>
          <w:szCs w:val="22"/>
          <w:lang w:bidi="ar-SA"/>
        </w:rPr>
        <w:t xml:space="preserve"> è utile </w:t>
      </w:r>
    </w:p>
    <w:p w14:paraId="164A6E82" w14:textId="77777777" w:rsidR="006711BC" w:rsidRDefault="00B40646">
      <w:pPr>
        <w:jc w:val="both"/>
        <w:rPr>
          <w:rFonts w:hint="eastAsia"/>
          <w:sz w:val="22"/>
          <w:szCs w:val="22"/>
        </w:rPr>
      </w:pPr>
      <w:r>
        <w:rPr>
          <w:rFonts w:ascii="Calibri" w:eastAsia="DejaVu Sans" w:hAnsi="Calibri" w:cs="Nimbus Roman No9 L;Times New Ro"/>
          <w:color w:val="000000"/>
          <w:sz w:val="22"/>
          <w:szCs w:val="22"/>
          <w:lang w:bidi="ar-SA"/>
        </w:rPr>
        <w:t>Per migliorare la conoscenza delle realtà regionali dell’economia solidale; rafforzare i contatti esistenti tra i soggetti aderenti al Forum; favorire la creazione di nuove reti; disporre di materiali utili a uno studio in profondità su specifici ambiti dell’economia solidale; implementare e consolidare metodologie di lavoro per studi ulteriori; avviare la costituzione di un archivio dati; formare professionalità specializzate nell’ambito della ricerca e dell’animazione di rete; migliorare la comunicazione tra istituzioni locali, aderenti al Forum, mondo dell’economia solidale.</w:t>
      </w:r>
    </w:p>
    <w:p w14:paraId="407E28F9" w14:textId="77777777" w:rsidR="006711BC" w:rsidRDefault="00B40646">
      <w:pPr>
        <w:spacing w:before="57"/>
        <w:rPr>
          <w:rFonts w:hint="eastAsia"/>
        </w:rPr>
      </w:pPr>
      <w:r>
        <w:rPr>
          <w:rFonts w:ascii="Calibri" w:eastAsia="DejaVu Sans" w:hAnsi="Calibri" w:cs="Nimbus Roman No9 L;Times New Ro"/>
          <w:b/>
          <w:bCs/>
          <w:color w:val="000000"/>
          <w:lang w:bidi="ar-SA"/>
        </w:rPr>
        <w:t>Beneficiari</w:t>
      </w:r>
    </w:p>
    <w:p w14:paraId="42F6B7B1" w14:textId="77777777" w:rsidR="006711BC" w:rsidRDefault="00B40646">
      <w:pPr>
        <w:pStyle w:val="Rigadintestazione"/>
        <w:rPr>
          <w:rFonts w:hint="eastAsia"/>
          <w:sz w:val="22"/>
          <w:szCs w:val="22"/>
        </w:rPr>
      </w:pPr>
      <w:r>
        <w:rPr>
          <w:rFonts w:ascii="Calibri" w:eastAsia="DejaVu Sans" w:hAnsi="Calibri" w:cs="Nimbus Roman No9 L;Times New Ro"/>
          <w:color w:val="000000"/>
          <w:sz w:val="22"/>
          <w:szCs w:val="22"/>
          <w:lang w:bidi="ar-SA"/>
        </w:rPr>
        <w:t>Regione Emilia-Romagna, Enti locali, cittadini, associazioni, Gruppi informali, reti, imprese, cooperative.</w:t>
      </w:r>
    </w:p>
    <w:p w14:paraId="0DF1D5F9" w14:textId="77777777" w:rsidR="006711BC" w:rsidRDefault="00B40646">
      <w:pPr>
        <w:pStyle w:val="Rigadintestazione"/>
        <w:spacing w:before="57"/>
        <w:rPr>
          <w:rFonts w:hint="eastAsia"/>
        </w:rPr>
      </w:pPr>
      <w:r>
        <w:rPr>
          <w:rFonts w:ascii="Calibri" w:eastAsia="DejaVu Sans" w:hAnsi="Calibri" w:cs="Nimbus Roman No9 L;Times New Ro"/>
          <w:b/>
          <w:bCs/>
          <w:color w:val="000000"/>
          <w:lang w:bidi="ar-SA"/>
        </w:rPr>
        <w:t>Cosa serve per metterla in atto</w:t>
      </w:r>
    </w:p>
    <w:p w14:paraId="11AA6EAD" w14:textId="77777777" w:rsidR="006711BC" w:rsidRDefault="00B40646">
      <w:pPr>
        <w:pStyle w:val="Rigadintestazione"/>
        <w:rPr>
          <w:rFonts w:hint="eastAsia"/>
          <w:sz w:val="22"/>
          <w:szCs w:val="22"/>
        </w:rPr>
      </w:pPr>
      <w:r>
        <w:rPr>
          <w:rFonts w:ascii="Calibri" w:eastAsia="DejaVu Sans" w:hAnsi="Calibri" w:cs="Nimbus Roman No9 L;Times New Ro"/>
          <w:color w:val="000000"/>
          <w:sz w:val="22"/>
          <w:szCs w:val="22"/>
          <w:lang w:bidi="ar-SA"/>
        </w:rPr>
        <w:t xml:space="preserve">Acquisire gli elenchi delle realtà dell’economia solidale in regione. Ideare il disegno di ricerca. Formare preliminarmente le professionalità coinvolte. Contattare il campione. Somministrare i questionari e le interviste (focus </w:t>
      </w:r>
      <w:proofErr w:type="spellStart"/>
      <w:r>
        <w:rPr>
          <w:rFonts w:ascii="Calibri" w:eastAsia="DejaVu Sans" w:hAnsi="Calibri" w:cs="Nimbus Roman No9 L;Times New Ro"/>
          <w:color w:val="000000"/>
          <w:sz w:val="22"/>
          <w:szCs w:val="22"/>
          <w:lang w:bidi="ar-SA"/>
        </w:rPr>
        <w:t>group</w:t>
      </w:r>
      <w:proofErr w:type="spellEnd"/>
      <w:proofErr w:type="gramStart"/>
      <w:r>
        <w:rPr>
          <w:rFonts w:ascii="Calibri" w:eastAsia="DejaVu Sans" w:hAnsi="Calibri" w:cs="Nimbus Roman No9 L;Times New Ro"/>
          <w:color w:val="000000"/>
          <w:sz w:val="22"/>
          <w:szCs w:val="22"/>
          <w:lang w:bidi="ar-SA"/>
        </w:rPr>
        <w:t>) .</w:t>
      </w:r>
      <w:proofErr w:type="gramEnd"/>
      <w:r>
        <w:rPr>
          <w:rFonts w:ascii="Calibri" w:eastAsia="DejaVu Sans" w:hAnsi="Calibri" w:cs="Nimbus Roman No9 L;Times New Ro"/>
          <w:color w:val="000000"/>
          <w:sz w:val="22"/>
          <w:szCs w:val="22"/>
          <w:lang w:bidi="ar-SA"/>
        </w:rPr>
        <w:t xml:space="preserve"> Consulenza metodologica, attività di segreteria (tecnico-organizzativa).</w:t>
      </w:r>
    </w:p>
    <w:p w14:paraId="5264A5AF" w14:textId="77777777" w:rsidR="006711BC" w:rsidRDefault="00B40646">
      <w:pPr>
        <w:pStyle w:val="Rigadintestazione"/>
        <w:spacing w:before="57"/>
        <w:rPr>
          <w:rFonts w:hint="eastAsia"/>
        </w:rPr>
      </w:pPr>
      <w:r>
        <w:rPr>
          <w:rFonts w:ascii="Calibri" w:eastAsia="DejaVu Sans" w:hAnsi="Calibri" w:cs="Nimbus Roman No9 L;Times New Ro"/>
          <w:b/>
          <w:bCs/>
          <w:color w:val="000000"/>
          <w:lang w:bidi="ar-SA"/>
        </w:rPr>
        <w:t>Chi sono i soggetti istituzionali coinvolti per l’avvio dell’idea</w:t>
      </w:r>
    </w:p>
    <w:p w14:paraId="7A35054F" w14:textId="77777777" w:rsidR="006711BC" w:rsidRDefault="00B40646">
      <w:pPr>
        <w:pStyle w:val="Rigadintestazione"/>
        <w:rPr>
          <w:rFonts w:hint="eastAsia"/>
          <w:sz w:val="22"/>
          <w:szCs w:val="22"/>
        </w:rPr>
      </w:pPr>
      <w:r>
        <w:rPr>
          <w:rFonts w:ascii="Calibri" w:eastAsia="DejaVu Sans" w:hAnsi="Calibri" w:cs="Nimbus Roman No9 L;Times New Ro"/>
          <w:color w:val="000000"/>
          <w:sz w:val="22"/>
          <w:szCs w:val="22"/>
          <w:lang w:bidi="ar-SA"/>
        </w:rPr>
        <w:t>RER, ART-ER, Forum / GLT Promozione Reti di Economia Solidale/ tutti i GLT della rete e reti già operative sul territorio.</w:t>
      </w:r>
    </w:p>
    <w:p w14:paraId="5F19A6A0" w14:textId="77777777" w:rsidR="006711BC" w:rsidRDefault="00B40646">
      <w:pPr>
        <w:pStyle w:val="Rigadintestazione"/>
        <w:spacing w:before="57"/>
        <w:rPr>
          <w:rFonts w:hint="eastAsia"/>
        </w:rPr>
      </w:pPr>
      <w:r>
        <w:rPr>
          <w:rFonts w:ascii="Calibri" w:eastAsia="DejaVu Sans" w:hAnsi="Calibri" w:cs="Nimbus Roman No9 L;Times New Ro"/>
          <w:b/>
          <w:bCs/>
          <w:color w:val="000000"/>
          <w:lang w:bidi="ar-SA"/>
        </w:rPr>
        <w:t>Sostenibilità economica</w:t>
      </w:r>
    </w:p>
    <w:p w14:paraId="761A3CEF" w14:textId="77777777" w:rsidR="006711BC" w:rsidRDefault="00B40646">
      <w:pPr>
        <w:pStyle w:val="Rigadintestazione"/>
        <w:rPr>
          <w:rFonts w:hint="eastAsia"/>
          <w:sz w:val="22"/>
          <w:szCs w:val="22"/>
        </w:rPr>
      </w:pPr>
      <w:r>
        <w:rPr>
          <w:rFonts w:ascii="Calibri" w:eastAsia="DejaVu Sans" w:hAnsi="Calibri" w:cs="Nimbus Roman No9 L;Times New Ro"/>
          <w:color w:val="000000"/>
          <w:sz w:val="22"/>
          <w:szCs w:val="22"/>
          <w:lang w:bidi="ar-SA"/>
        </w:rPr>
        <w:t>Risorse economiche per l’attività di ricognizione sugli archivi esistenti funzionale alla costruzione del campione.</w:t>
      </w:r>
    </w:p>
    <w:p w14:paraId="67A0A3D8" w14:textId="77777777" w:rsidR="006711BC" w:rsidRDefault="00B40646">
      <w:pPr>
        <w:jc w:val="both"/>
        <w:rPr>
          <w:rFonts w:hint="eastAsia"/>
          <w:sz w:val="22"/>
          <w:szCs w:val="22"/>
        </w:rPr>
      </w:pPr>
      <w:r>
        <w:rPr>
          <w:rFonts w:ascii="Calibri" w:eastAsia="DejaVu Sans" w:hAnsi="Calibri" w:cs="Nimbus Roman No9 L;Times New Ro"/>
          <w:color w:val="000000"/>
          <w:sz w:val="22"/>
          <w:szCs w:val="22"/>
          <w:lang w:bidi="ar-SA"/>
        </w:rPr>
        <w:t xml:space="preserve">Risorse economiche per la realizzazione dei questionari e delle interviste/focus </w:t>
      </w:r>
      <w:proofErr w:type="spellStart"/>
      <w:r>
        <w:rPr>
          <w:rFonts w:ascii="Calibri" w:eastAsia="DejaVu Sans" w:hAnsi="Calibri" w:cs="Nimbus Roman No9 L;Times New Ro"/>
          <w:color w:val="000000"/>
          <w:sz w:val="22"/>
          <w:szCs w:val="22"/>
          <w:lang w:bidi="ar-SA"/>
        </w:rPr>
        <w:t>group</w:t>
      </w:r>
      <w:proofErr w:type="spellEnd"/>
      <w:r>
        <w:rPr>
          <w:rFonts w:ascii="Calibri" w:eastAsia="DejaVu Sans" w:hAnsi="Calibri" w:cs="Nimbus Roman No9 L;Times New Ro"/>
          <w:color w:val="000000"/>
          <w:sz w:val="22"/>
          <w:szCs w:val="22"/>
          <w:lang w:bidi="ar-SA"/>
        </w:rPr>
        <w:t xml:space="preserve"> (a distanza e, laddove possibile, in presenza).</w:t>
      </w:r>
    </w:p>
    <w:p w14:paraId="18BA7B99" w14:textId="77777777" w:rsidR="006711BC" w:rsidRDefault="00B40646">
      <w:pPr>
        <w:jc w:val="both"/>
        <w:rPr>
          <w:rFonts w:hint="eastAsia"/>
          <w:sz w:val="22"/>
          <w:szCs w:val="22"/>
        </w:rPr>
      </w:pPr>
      <w:r>
        <w:rPr>
          <w:rFonts w:ascii="Calibri" w:eastAsia="DejaVu Sans" w:hAnsi="Calibri" w:cs="Nimbus Roman No9 L;Times New Ro"/>
          <w:color w:val="000000"/>
          <w:sz w:val="22"/>
          <w:szCs w:val="22"/>
          <w:lang w:bidi="ar-SA"/>
        </w:rPr>
        <w:t>Risorse economiche per l’analisi dei dati e la stesura di report di ricerca ed eventuali altre pubblicazioni.</w:t>
      </w:r>
    </w:p>
    <w:sectPr w:rsidR="006711BC">
      <w:pgSz w:w="11906" w:h="16838"/>
      <w:pgMar w:top="420" w:right="1134" w:bottom="40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DejaVu Sans">
    <w:panose1 w:val="020B0604020202020204"/>
    <w:charset w:val="00"/>
    <w:family w:val="roman"/>
    <w:notTrueType/>
    <w:pitch w:val="default"/>
  </w:font>
  <w:font w:name="Nimbus Roman No9 L;Times New Ro">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BC"/>
    <w:rsid w:val="006711BC"/>
    <w:rsid w:val="008B3DFE"/>
    <w:rsid w:val="00B40646"/>
    <w:rsid w:val="00E731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1AF9"/>
  <w15:docId w15:val="{2CB29C60-1AB6-4B59-AE7C-65D6F45A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2"/>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bCs/>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Rigadintestazione">
    <w:name w:val="Riga d'intestazione"/>
    <w:basedOn w:val="Normale"/>
    <w:qFormat/>
    <w:pPr>
      <w:suppressLineNumbers/>
      <w:tabs>
        <w:tab w:val="center" w:pos="4819"/>
        <w:tab w:val="right" w:pos="9638"/>
      </w:tabs>
    </w:pPr>
  </w:style>
  <w:style w:type="paragraph" w:styleId="Testonotaapidipagina">
    <w:name w:val="footnote text"/>
    <w:basedOn w:val="Normale"/>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Tuorto</dc:creator>
  <dc:description/>
  <cp:lastModifiedBy>Microsoft Office User</cp:lastModifiedBy>
  <cp:revision>2</cp:revision>
  <dcterms:created xsi:type="dcterms:W3CDTF">2021-02-11T21:50:00Z</dcterms:created>
  <dcterms:modified xsi:type="dcterms:W3CDTF">2021-02-11T21:50:00Z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Alma Mater Studiorum Università di Bologna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