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C7A1DD" w14:textId="77777777" w:rsidR="00EC4F93" w:rsidRDefault="0098084D">
      <w:pPr>
        <w:jc w:val="center"/>
        <w:rPr>
          <w:rFonts w:ascii="Arial" w:eastAsia="DejaVu Sans" w:hAnsi="Arial" w:cs="Arial"/>
          <w:b/>
          <w:bCs/>
          <w:sz w:val="36"/>
          <w:szCs w:val="32"/>
          <w:lang w:bidi="ar-SA"/>
        </w:rPr>
      </w:pPr>
      <w:bookmarkStart w:id="0" w:name="docs-internal-guid-e3fc92a0-7fff-6eb1-db"/>
      <w:bookmarkEnd w:id="0"/>
      <w:r>
        <w:rPr>
          <w:rFonts w:ascii="Arial" w:eastAsia="DejaVu Sans" w:hAnsi="Arial" w:cs="Arial"/>
          <w:b/>
          <w:bCs/>
          <w:sz w:val="36"/>
          <w:szCs w:val="32"/>
          <w:lang w:bidi="ar-SA"/>
        </w:rPr>
        <w:t xml:space="preserve">Forum dell’Economia Solidale dell’Emilia-Romagna </w:t>
      </w:r>
    </w:p>
    <w:p w14:paraId="06998FE1" w14:textId="77777777" w:rsidR="00EC4F93" w:rsidRDefault="0098084D">
      <w:pPr>
        <w:jc w:val="center"/>
        <w:rPr>
          <w:rFonts w:ascii="Arial" w:hAnsi="Arial" w:cs="Arial"/>
        </w:rPr>
      </w:pPr>
      <w:r>
        <w:rPr>
          <w:rFonts w:ascii="Arial" w:eastAsia="DejaVu Sans" w:hAnsi="Arial" w:cs="Arial"/>
          <w:b/>
          <w:bCs/>
          <w:sz w:val="26"/>
          <w:szCs w:val="32"/>
          <w:lang w:bidi="ar-SA"/>
        </w:rPr>
        <w:t>Bologna 13 Febbraio 2021</w:t>
      </w:r>
      <w:r>
        <w:rPr>
          <w:rFonts w:ascii="Arial" w:eastAsia="DejaVu Sans" w:hAnsi="Arial" w:cs="Arial"/>
          <w:b/>
          <w:bCs/>
          <w:sz w:val="32"/>
          <w:szCs w:val="32"/>
          <w:lang w:bidi="ar-SA"/>
        </w:rPr>
        <w:t xml:space="preserve"> </w:t>
      </w:r>
    </w:p>
    <w:p w14:paraId="4C315021" w14:textId="77777777" w:rsidR="00EC4F93" w:rsidRDefault="00EC4F93">
      <w:pPr>
        <w:pStyle w:val="Rigadintestazione"/>
        <w:jc w:val="center"/>
        <w:rPr>
          <w:rFonts w:ascii="Arial" w:hAnsi="Arial" w:cs="Arial"/>
        </w:rPr>
      </w:pPr>
    </w:p>
    <w:p w14:paraId="1ADBCDF8" w14:textId="77777777" w:rsidR="00EC4F93" w:rsidRDefault="00EC4F93">
      <w:pPr>
        <w:pStyle w:val="Rigadintestazione"/>
        <w:jc w:val="center"/>
        <w:rPr>
          <w:rFonts w:ascii="Arial" w:hAnsi="Arial" w:cs="Arial"/>
        </w:rPr>
      </w:pPr>
    </w:p>
    <w:p w14:paraId="7D795D9C" w14:textId="77777777" w:rsidR="00EC4F93" w:rsidRDefault="0098084D">
      <w:pPr>
        <w:pStyle w:val="Rigadintestazione"/>
        <w:jc w:val="center"/>
        <w:rPr>
          <w:rFonts w:ascii="Arial" w:hAnsi="Arial" w:cs="Arial"/>
        </w:rPr>
      </w:pPr>
      <w:r>
        <w:rPr>
          <w:rFonts w:ascii="Arial" w:eastAsia="DejaVu Sans" w:hAnsi="Arial" w:cs="Arial"/>
          <w:b/>
          <w:bCs/>
          <w:sz w:val="32"/>
          <w:szCs w:val="32"/>
          <w:lang w:bidi="ar-SA"/>
        </w:rPr>
        <w:t xml:space="preserve">SCHEDA PROPOSTE FORUM n° 1/GLT Energia </w:t>
      </w:r>
    </w:p>
    <w:p w14:paraId="3409248E" w14:textId="77777777" w:rsidR="00EC4F93" w:rsidRDefault="00EC4F93">
      <w:pPr>
        <w:pStyle w:val="Rigadintestazione"/>
        <w:jc w:val="both"/>
        <w:rPr>
          <w:rFonts w:ascii="Arial" w:eastAsia="DejaVu Sans" w:hAnsi="Arial" w:cs="Arial"/>
          <w:b/>
          <w:bCs/>
          <w:lang w:bidi="ar-SA"/>
        </w:rPr>
      </w:pPr>
    </w:p>
    <w:p w14:paraId="5DCC313A" w14:textId="77777777" w:rsidR="00EC4F93" w:rsidRDefault="0098084D">
      <w:pPr>
        <w:pStyle w:val="Rigadintestazione"/>
        <w:jc w:val="both"/>
        <w:rPr>
          <w:rFonts w:ascii="Arial" w:hAnsi="Arial" w:cs="Arial"/>
          <w:sz w:val="28"/>
          <w:szCs w:val="28"/>
        </w:rPr>
      </w:pPr>
      <w:r>
        <w:rPr>
          <w:rFonts w:ascii="Arial" w:eastAsia="DejaVu Sans" w:hAnsi="Arial" w:cs="Arial"/>
          <w:b/>
          <w:bCs/>
          <w:sz w:val="28"/>
          <w:szCs w:val="28"/>
          <w:lang w:bidi="ar-SA"/>
        </w:rPr>
        <w:t>Nome della proposta (titolo):</w:t>
      </w:r>
      <w:r>
        <w:rPr>
          <w:rFonts w:ascii="Arial" w:hAnsi="Arial" w:cs="Arial"/>
          <w:sz w:val="28"/>
          <w:szCs w:val="28"/>
        </w:rPr>
        <w:t xml:space="preserve"> </w:t>
      </w:r>
    </w:p>
    <w:p w14:paraId="7D896F82" w14:textId="77777777" w:rsidR="00EC4F93" w:rsidRDefault="0098084D">
      <w:pPr>
        <w:pStyle w:val="Rigadintestazione"/>
        <w:jc w:val="both"/>
        <w:rPr>
          <w:rFonts w:ascii="Arial" w:eastAsia="DejaVu Sans" w:hAnsi="Arial" w:cs="Arial"/>
          <w:b/>
          <w:bCs/>
          <w:sz w:val="28"/>
          <w:szCs w:val="28"/>
          <w:lang w:bidi="ar-SA"/>
        </w:rPr>
      </w:pPr>
      <w:r>
        <w:rPr>
          <w:rFonts w:ascii="Arial" w:eastAsia="DejaVu Sans" w:hAnsi="Arial" w:cs="Arial"/>
          <w:b/>
          <w:bCs/>
          <w:sz w:val="28"/>
          <w:szCs w:val="28"/>
          <w:lang w:bidi="ar-SA"/>
        </w:rPr>
        <w:t xml:space="preserve">Energia ed economia solidale: verso lo sviluppo di scelte consapevoli e solidali sull’uso sostenibile delle risorse su efficienza, produzione e consumo energetico a beneficio del Bene Comune. </w:t>
      </w:r>
    </w:p>
    <w:p w14:paraId="1C87CE95" w14:textId="77777777" w:rsidR="00EC4F93" w:rsidRDefault="00EC4F93">
      <w:pPr>
        <w:pStyle w:val="Rigadintestazione"/>
        <w:jc w:val="both"/>
        <w:rPr>
          <w:rFonts w:ascii="Arial" w:hAnsi="Arial" w:cs="Arial"/>
          <w:sz w:val="28"/>
          <w:szCs w:val="28"/>
        </w:rPr>
      </w:pPr>
    </w:p>
    <w:p w14:paraId="210CE374" w14:textId="77777777" w:rsidR="00EC4F93" w:rsidRDefault="0098084D">
      <w:pPr>
        <w:pStyle w:val="Rigadintestazione"/>
        <w:jc w:val="both"/>
        <w:rPr>
          <w:rFonts w:ascii="Arial" w:eastAsia="DejaVu Sans" w:hAnsi="Arial" w:cs="Arial"/>
          <w:b/>
          <w:bCs/>
          <w:sz w:val="28"/>
          <w:szCs w:val="28"/>
          <w:lang w:bidi="ar-SA"/>
        </w:rPr>
      </w:pPr>
      <w:r>
        <w:rPr>
          <w:rFonts w:ascii="Arial" w:eastAsia="DejaVu Sans" w:hAnsi="Arial" w:cs="Arial"/>
          <w:b/>
          <w:bCs/>
          <w:sz w:val="28"/>
          <w:szCs w:val="28"/>
          <w:lang w:bidi="ar-SA"/>
        </w:rPr>
        <w:t xml:space="preserve">Riferimento </w:t>
      </w:r>
    </w:p>
    <w:p w14:paraId="067E8AE6" w14:textId="77777777" w:rsidR="00EC4F93" w:rsidRDefault="0098084D">
      <w:pPr>
        <w:suppressAutoHyphens w:val="0"/>
        <w:jc w:val="both"/>
        <w:rPr>
          <w:rFonts w:ascii="Arial" w:hAnsi="Arial" w:cs="Arial"/>
        </w:rPr>
      </w:pPr>
      <w:r>
        <w:rPr>
          <w:rFonts w:ascii="Arial" w:hAnsi="Arial" w:cs="Arial"/>
          <w:kern w:val="0"/>
          <w:lang w:bidi="ar-SA"/>
        </w:rPr>
        <w:t xml:space="preserve">L.R. 19/2014 art.1 c.2, in particolare </w:t>
      </w:r>
      <w:proofErr w:type="spellStart"/>
      <w:r>
        <w:rPr>
          <w:rFonts w:ascii="Arial" w:hAnsi="Arial" w:cs="Arial"/>
          <w:kern w:val="0"/>
          <w:lang w:bidi="ar-SA"/>
        </w:rPr>
        <w:t>lett</w:t>
      </w:r>
      <w:proofErr w:type="spellEnd"/>
      <w:r>
        <w:rPr>
          <w:rFonts w:ascii="Arial" w:hAnsi="Arial" w:cs="Arial"/>
          <w:kern w:val="0"/>
          <w:lang w:bidi="ar-SA"/>
        </w:rPr>
        <w:t>. a): l’economia solidale “promuove i beni comuni, assicurandone l’utilizzo collettivo e sostenibile a beneficio delle comunità e delle generazioni future”.</w:t>
      </w:r>
    </w:p>
    <w:p w14:paraId="3FA33E0C" w14:textId="77777777" w:rsidR="00EC4F93" w:rsidRDefault="00EC4F93">
      <w:pPr>
        <w:pStyle w:val="Rigadintestazione"/>
        <w:jc w:val="both"/>
        <w:rPr>
          <w:rFonts w:ascii="Arial" w:eastAsia="DejaVu Sans" w:hAnsi="Arial" w:cs="Arial"/>
          <w:b/>
          <w:bCs/>
          <w:lang w:bidi="ar-SA"/>
        </w:rPr>
      </w:pPr>
    </w:p>
    <w:p w14:paraId="74901771" w14:textId="77777777" w:rsidR="00EC4F93" w:rsidRDefault="0098084D">
      <w:pPr>
        <w:pStyle w:val="Rigadintestazione"/>
        <w:jc w:val="both"/>
        <w:rPr>
          <w:rFonts w:ascii="Arial" w:hAnsi="Arial" w:cs="Arial"/>
          <w:sz w:val="28"/>
          <w:szCs w:val="28"/>
        </w:rPr>
      </w:pPr>
      <w:r>
        <w:rPr>
          <w:rFonts w:ascii="Arial" w:eastAsia="DejaVu Sans" w:hAnsi="Arial" w:cs="Arial"/>
          <w:b/>
          <w:bCs/>
          <w:sz w:val="28"/>
          <w:szCs w:val="28"/>
          <w:lang w:bidi="ar-SA"/>
        </w:rPr>
        <w:t xml:space="preserve">Gruppo di lavoro </w:t>
      </w:r>
    </w:p>
    <w:p w14:paraId="56E03605" w14:textId="77777777" w:rsidR="00EC4F93" w:rsidRDefault="0098084D">
      <w:pPr>
        <w:pStyle w:val="Rigadintestazione"/>
        <w:jc w:val="both"/>
        <w:rPr>
          <w:rFonts w:ascii="Arial" w:eastAsia="DejaVu Sans" w:hAnsi="Arial" w:cs="Arial"/>
          <w:b/>
          <w:lang w:bidi="ar-SA"/>
        </w:rPr>
      </w:pPr>
      <w:r>
        <w:rPr>
          <w:rFonts w:ascii="Arial" w:eastAsia="DejaVu Sans" w:hAnsi="Arial" w:cs="Arial"/>
          <w:b/>
          <w:lang w:bidi="ar-SA"/>
        </w:rPr>
        <w:t xml:space="preserve">Coordinatore: Carlo Lugli </w:t>
      </w:r>
    </w:p>
    <w:p w14:paraId="72855446" w14:textId="77777777" w:rsidR="00EC4F93" w:rsidRDefault="0098084D">
      <w:pPr>
        <w:pStyle w:val="Rigadintestazione"/>
        <w:jc w:val="both"/>
        <w:rPr>
          <w:rFonts w:ascii="Arial" w:eastAsia="DejaVu Sans" w:hAnsi="Arial" w:cs="Arial"/>
          <w:lang w:bidi="ar-SA"/>
        </w:rPr>
      </w:pPr>
      <w:r>
        <w:rPr>
          <w:rFonts w:ascii="Arial" w:eastAsia="DejaVu Sans" w:hAnsi="Arial" w:cs="Arial"/>
          <w:lang w:bidi="ar-SA"/>
        </w:rPr>
        <w:t xml:space="preserve">Francesco </w:t>
      </w:r>
      <w:proofErr w:type="spellStart"/>
      <w:r>
        <w:rPr>
          <w:rFonts w:ascii="Arial" w:eastAsia="DejaVu Sans" w:hAnsi="Arial" w:cs="Arial"/>
          <w:lang w:bidi="ar-SA"/>
        </w:rPr>
        <w:t>Occhipinti</w:t>
      </w:r>
      <w:proofErr w:type="spellEnd"/>
      <w:r>
        <w:rPr>
          <w:rFonts w:ascii="Arial" w:eastAsia="DejaVu Sans" w:hAnsi="Arial" w:cs="Arial"/>
          <w:lang w:bidi="ar-SA"/>
        </w:rPr>
        <w:t xml:space="preserve">, Andrea </w:t>
      </w:r>
      <w:proofErr w:type="spellStart"/>
      <w:r>
        <w:rPr>
          <w:rFonts w:ascii="Arial" w:eastAsia="DejaVu Sans" w:hAnsi="Arial" w:cs="Arial"/>
          <w:lang w:bidi="ar-SA"/>
        </w:rPr>
        <w:t>Baccarani</w:t>
      </w:r>
      <w:proofErr w:type="spellEnd"/>
      <w:r>
        <w:rPr>
          <w:rFonts w:ascii="Arial" w:eastAsia="DejaVu Sans" w:hAnsi="Arial" w:cs="Arial"/>
          <w:lang w:bidi="ar-SA"/>
        </w:rPr>
        <w:t xml:space="preserve">, Lorenzo Frattini, Lorenzo Mancini, Leonardo Setti, Lugli Carlo, Marco </w:t>
      </w:r>
      <w:proofErr w:type="spellStart"/>
      <w:r>
        <w:rPr>
          <w:rFonts w:ascii="Arial" w:eastAsia="DejaVu Sans" w:hAnsi="Arial" w:cs="Arial"/>
          <w:lang w:bidi="ar-SA"/>
        </w:rPr>
        <w:t>Grimandi</w:t>
      </w:r>
      <w:proofErr w:type="spellEnd"/>
      <w:r>
        <w:rPr>
          <w:rFonts w:ascii="Arial" w:eastAsia="DejaVu Sans" w:hAnsi="Arial" w:cs="Arial"/>
          <w:lang w:bidi="ar-SA"/>
        </w:rPr>
        <w:t xml:space="preserve">, Natale </w:t>
      </w:r>
      <w:proofErr w:type="spellStart"/>
      <w:r>
        <w:rPr>
          <w:rFonts w:ascii="Arial" w:eastAsia="DejaVu Sans" w:hAnsi="Arial" w:cs="Arial"/>
          <w:lang w:bidi="ar-SA"/>
        </w:rPr>
        <w:t>Belosi</w:t>
      </w:r>
      <w:proofErr w:type="spellEnd"/>
      <w:r>
        <w:rPr>
          <w:rFonts w:ascii="Arial" w:eastAsia="DejaVu Sans" w:hAnsi="Arial" w:cs="Arial"/>
          <w:lang w:bidi="ar-SA"/>
        </w:rPr>
        <w:t xml:space="preserve">, Passarella Pietro, Rosita Folli, Serventi Mauro, Alberto </w:t>
      </w:r>
      <w:proofErr w:type="spellStart"/>
      <w:r>
        <w:rPr>
          <w:rFonts w:ascii="Arial" w:eastAsia="DejaVu Sans" w:hAnsi="Arial" w:cs="Arial"/>
          <w:lang w:bidi="ar-SA"/>
        </w:rPr>
        <w:t>Montavoci</w:t>
      </w:r>
      <w:proofErr w:type="spellEnd"/>
      <w:r>
        <w:rPr>
          <w:rFonts w:ascii="Arial" w:eastAsia="DejaVu Sans" w:hAnsi="Arial" w:cs="Arial"/>
          <w:lang w:bidi="ar-SA"/>
        </w:rPr>
        <w:t xml:space="preserve">, Vittorio Bardi, Giordano </w:t>
      </w:r>
      <w:proofErr w:type="spellStart"/>
      <w:r>
        <w:rPr>
          <w:rFonts w:ascii="Arial" w:eastAsia="DejaVu Sans" w:hAnsi="Arial" w:cs="Arial"/>
          <w:lang w:bidi="ar-SA"/>
        </w:rPr>
        <w:t>Marzaroli</w:t>
      </w:r>
      <w:proofErr w:type="spellEnd"/>
      <w:r>
        <w:rPr>
          <w:rFonts w:ascii="Arial" w:eastAsia="DejaVu Sans" w:hAnsi="Arial" w:cs="Arial"/>
          <w:lang w:bidi="ar-SA"/>
        </w:rPr>
        <w:t xml:space="preserve">, Paolo </w:t>
      </w:r>
      <w:proofErr w:type="spellStart"/>
      <w:r>
        <w:rPr>
          <w:rFonts w:ascii="Arial" w:eastAsia="DejaVu Sans" w:hAnsi="Arial" w:cs="Arial"/>
          <w:lang w:bidi="ar-SA"/>
        </w:rPr>
        <w:t>Bartolomei</w:t>
      </w:r>
      <w:proofErr w:type="spellEnd"/>
    </w:p>
    <w:p w14:paraId="7FFF084C" w14:textId="77777777" w:rsidR="00EC4F93" w:rsidRDefault="00EC4F93">
      <w:pPr>
        <w:pStyle w:val="Rigadintestazione"/>
        <w:jc w:val="both"/>
        <w:rPr>
          <w:rFonts w:ascii="Arial" w:hAnsi="Arial" w:cs="Arial"/>
        </w:rPr>
      </w:pPr>
    </w:p>
    <w:p w14:paraId="75EE4A03" w14:textId="77777777" w:rsidR="00EC4F93" w:rsidRDefault="0098084D">
      <w:pPr>
        <w:pStyle w:val="Rigadintestazione"/>
        <w:jc w:val="both"/>
        <w:rPr>
          <w:rFonts w:ascii="Arial" w:eastAsia="DejaVu Sans" w:hAnsi="Arial" w:cs="Arial"/>
          <w:b/>
          <w:bCs/>
          <w:sz w:val="28"/>
          <w:szCs w:val="28"/>
          <w:lang w:bidi="ar-SA"/>
        </w:rPr>
      </w:pPr>
      <w:r>
        <w:rPr>
          <w:rFonts w:ascii="Arial" w:eastAsia="DejaVu Sans" w:hAnsi="Arial" w:cs="Arial"/>
          <w:b/>
          <w:bCs/>
          <w:sz w:val="28"/>
          <w:szCs w:val="28"/>
          <w:lang w:bidi="ar-SA"/>
        </w:rPr>
        <w:t>Referenti del GLT al Tavolo Permanente</w:t>
      </w:r>
    </w:p>
    <w:p w14:paraId="519A3F6A" w14:textId="77777777" w:rsidR="00EC4F93" w:rsidRDefault="0098084D">
      <w:pPr>
        <w:pStyle w:val="Rigadintestazione"/>
        <w:jc w:val="both"/>
        <w:rPr>
          <w:rFonts w:ascii="Arial" w:hAnsi="Arial" w:cs="Arial"/>
        </w:rPr>
      </w:pPr>
      <w:r>
        <w:rPr>
          <w:rFonts w:ascii="Arial" w:eastAsia="DejaVu Sans" w:hAnsi="Arial" w:cs="Arial"/>
          <w:b/>
          <w:bCs/>
          <w:lang w:bidi="ar-SA"/>
        </w:rPr>
        <w:t xml:space="preserve">Carlo Lugli, Natale </w:t>
      </w:r>
      <w:proofErr w:type="spellStart"/>
      <w:r>
        <w:rPr>
          <w:rFonts w:ascii="Arial" w:eastAsia="DejaVu Sans" w:hAnsi="Arial" w:cs="Arial"/>
          <w:b/>
          <w:bCs/>
          <w:lang w:bidi="ar-SA"/>
        </w:rPr>
        <w:t>Belosi</w:t>
      </w:r>
      <w:proofErr w:type="spellEnd"/>
    </w:p>
    <w:p w14:paraId="257F95C2" w14:textId="77777777" w:rsidR="00EC4F93" w:rsidRDefault="00EC4F93">
      <w:pPr>
        <w:pStyle w:val="Rigadintestazione"/>
        <w:jc w:val="both"/>
        <w:rPr>
          <w:rFonts w:ascii="Arial" w:eastAsia="DejaVu Sans" w:hAnsi="Arial" w:cs="Arial"/>
          <w:b/>
          <w:bCs/>
          <w:lang w:bidi="ar-SA"/>
        </w:rPr>
      </w:pPr>
    </w:p>
    <w:p w14:paraId="2AA0FB8F" w14:textId="77777777" w:rsidR="00EC4F93" w:rsidRDefault="0098084D">
      <w:pPr>
        <w:pStyle w:val="Rigadintestazione"/>
        <w:jc w:val="both"/>
        <w:rPr>
          <w:rFonts w:ascii="Arial" w:hAnsi="Arial" w:cs="Arial"/>
        </w:rPr>
      </w:pPr>
      <w:r>
        <w:rPr>
          <w:rFonts w:ascii="Arial" w:eastAsia="DejaVu Sans" w:hAnsi="Arial" w:cs="Arial"/>
          <w:b/>
          <w:bCs/>
          <w:sz w:val="28"/>
          <w:szCs w:val="28"/>
          <w:lang w:bidi="ar-SA"/>
        </w:rPr>
        <w:t>Descrizione della proposta</w:t>
      </w:r>
      <w:r>
        <w:rPr>
          <w:rFonts w:ascii="Arial" w:eastAsia="DejaVu Sans" w:hAnsi="Arial" w:cs="Arial"/>
          <w:b/>
          <w:bCs/>
          <w:lang w:bidi="ar-SA"/>
        </w:rPr>
        <w:t xml:space="preserve"> </w:t>
      </w:r>
    </w:p>
    <w:p w14:paraId="7CDF6CBF" w14:textId="77777777" w:rsidR="00EC4F93" w:rsidRDefault="0098084D">
      <w:pPr>
        <w:spacing w:before="120" w:line="288" w:lineRule="auto"/>
        <w:jc w:val="both"/>
        <w:rPr>
          <w:rFonts w:ascii="Arial" w:eastAsia="Times New Roman" w:hAnsi="Arial" w:cs="Arial"/>
          <w:iCs/>
        </w:rPr>
      </w:pPr>
      <w:r>
        <w:rPr>
          <w:rFonts w:ascii="Arial" w:eastAsia="Times New Roman" w:hAnsi="Arial" w:cs="Arial"/>
          <w:iCs/>
        </w:rPr>
        <w:t>Il gruppo è consapevole che i cambiamenti climatici pongono  l’urgenza e l’inderogabilità di operare congiuntamente scelte individuali, collettive ed istituzionali su risparmio,</w:t>
      </w:r>
      <w:r>
        <w:rPr>
          <w:rFonts w:ascii="Arial" w:eastAsia="DejaVu Sans" w:hAnsi="Arial" w:cs="Arial"/>
          <w:bCs/>
          <w:lang w:bidi="ar-SA"/>
        </w:rPr>
        <w:t xml:space="preserve"> produzione e consumo energetico</w:t>
      </w:r>
      <w:r>
        <w:rPr>
          <w:rFonts w:ascii="Arial" w:eastAsia="Times New Roman" w:hAnsi="Arial" w:cs="Arial"/>
          <w:iCs/>
        </w:rPr>
        <w:t xml:space="preserve"> che, solo se attuate radicalmente, renderanno possibile il raggiungimento dei </w:t>
      </w:r>
      <w:r>
        <w:rPr>
          <w:rFonts w:ascii="Arial" w:eastAsia="Times New Roman" w:hAnsi="Arial" w:cs="Arial"/>
          <w:b/>
          <w:iCs/>
        </w:rPr>
        <w:t>3 obiettivi</w:t>
      </w:r>
      <w:r>
        <w:rPr>
          <w:rFonts w:ascii="Arial" w:eastAsia="Times New Roman" w:hAnsi="Arial" w:cs="Arial"/>
          <w:iCs/>
        </w:rPr>
        <w:t xml:space="preserve"> del </w:t>
      </w:r>
      <w:r>
        <w:rPr>
          <w:rFonts w:ascii="Arial" w:eastAsia="Times New Roman" w:hAnsi="Arial" w:cs="Arial"/>
          <w:b/>
          <w:iCs/>
        </w:rPr>
        <w:t>32,5% al 2030</w:t>
      </w:r>
      <w:r>
        <w:rPr>
          <w:rFonts w:ascii="Arial" w:eastAsia="Times New Roman" w:hAnsi="Arial" w:cs="Arial"/>
          <w:iCs/>
        </w:rPr>
        <w:t xml:space="preserve"> dell'efficienza energetica (accordo di Parigi),  del </w:t>
      </w:r>
      <w:r>
        <w:rPr>
          <w:rFonts w:ascii="Arial" w:eastAsia="Times New Roman" w:hAnsi="Arial" w:cs="Arial"/>
          <w:b/>
          <w:iCs/>
        </w:rPr>
        <w:t>55% al 2030</w:t>
      </w:r>
      <w:r>
        <w:rPr>
          <w:rFonts w:ascii="Arial" w:eastAsia="Times New Roman" w:hAnsi="Arial" w:cs="Arial"/>
          <w:iCs/>
        </w:rPr>
        <w:t xml:space="preserve"> di riduzione di gas climalterante (decisione Commissione europea settembre 2020), del </w:t>
      </w:r>
      <w:r>
        <w:rPr>
          <w:rFonts w:ascii="Arial" w:eastAsia="Times New Roman" w:hAnsi="Arial" w:cs="Arial"/>
          <w:b/>
          <w:iCs/>
        </w:rPr>
        <w:t>100% di energia rinnovabile al 2035</w:t>
      </w:r>
      <w:r>
        <w:rPr>
          <w:rFonts w:ascii="Arial" w:eastAsia="Times New Roman" w:hAnsi="Arial" w:cs="Arial"/>
          <w:iCs/>
        </w:rPr>
        <w:t xml:space="preserve"> (Patto per il lavoro e per il clima dell'Emilia Romagna). Contemporaneamente è consapevole che occorre rientrare all'interno della sostenibilità dell'uso delle risorse poiché oggi ne stiamo consumando a livello mondiale il 180% di quelle disponibili sottraendole alle future generazioni.</w:t>
      </w:r>
    </w:p>
    <w:p w14:paraId="225BC663" w14:textId="77777777" w:rsidR="00EC4F93" w:rsidRDefault="00EC4F93">
      <w:pPr>
        <w:spacing w:before="120" w:line="288" w:lineRule="auto"/>
        <w:jc w:val="both"/>
        <w:rPr>
          <w:rFonts w:ascii="Arial" w:eastAsia="Times New Roman" w:hAnsi="Arial" w:cs="Arial"/>
          <w:iCs/>
        </w:rPr>
      </w:pPr>
    </w:p>
    <w:p w14:paraId="35D68621" w14:textId="77777777" w:rsidR="00EC4F93" w:rsidRDefault="0098084D">
      <w:pPr>
        <w:spacing w:line="288" w:lineRule="auto"/>
        <w:jc w:val="both"/>
        <w:rPr>
          <w:rFonts w:ascii="Arial" w:eastAsia="Times New Roman" w:hAnsi="Arial" w:cs="Arial"/>
          <w:iCs/>
        </w:rPr>
      </w:pPr>
      <w:r>
        <w:rPr>
          <w:rFonts w:ascii="Arial" w:eastAsia="Times New Roman" w:hAnsi="Arial" w:cs="Arial"/>
          <w:iCs/>
        </w:rPr>
        <w:t>Al fine di contribuire al perseguimento di quanto auspicato il GLT si rende disponibile ad attivare un dialogo con la Regione E-R che permetta il raggiungimento di obiettivi comuni attraverso soluzioni sviluppate in seno al GLT consistenti anche nell’attivazione dal basso di “</w:t>
      </w:r>
      <w:r>
        <w:rPr>
          <w:rFonts w:ascii="Arial" w:eastAsia="Times New Roman" w:hAnsi="Arial" w:cs="Arial"/>
          <w:i/>
        </w:rPr>
        <w:t>innovativi modelli relazionali, per far crescere la disponibilità dei soggetti economici e sociali a intraprendere percorsi condivisi, fondati sulla fiducia sostenuta dalla conoscenza e dalla cooperazione</w:t>
      </w:r>
      <w:r>
        <w:rPr>
          <w:rFonts w:ascii="Arial" w:eastAsia="Times New Roman" w:hAnsi="Arial" w:cs="Arial"/>
          <w:iCs/>
        </w:rPr>
        <w:t xml:space="preserve">” (ex-art. 1c.3 </w:t>
      </w:r>
      <w:proofErr w:type="spellStart"/>
      <w:r>
        <w:rPr>
          <w:rFonts w:ascii="Arial" w:eastAsia="Times New Roman" w:hAnsi="Arial" w:cs="Arial"/>
          <w:iCs/>
        </w:rPr>
        <w:t>lett.b</w:t>
      </w:r>
      <w:proofErr w:type="spellEnd"/>
      <w:r>
        <w:rPr>
          <w:rFonts w:ascii="Arial" w:eastAsia="Times New Roman" w:hAnsi="Arial" w:cs="Arial"/>
          <w:iCs/>
        </w:rPr>
        <w:t>) L.R. 19/2014).</w:t>
      </w:r>
    </w:p>
    <w:p w14:paraId="01E46261" w14:textId="77777777" w:rsidR="00EC4F93" w:rsidRDefault="00EC4F93">
      <w:pPr>
        <w:spacing w:before="120" w:line="288" w:lineRule="auto"/>
        <w:jc w:val="both"/>
        <w:rPr>
          <w:rFonts w:ascii="Arial" w:eastAsia="Times New Roman" w:hAnsi="Arial" w:cs="Arial"/>
          <w:iCs/>
        </w:rPr>
      </w:pPr>
    </w:p>
    <w:p w14:paraId="319ED42B" w14:textId="77777777" w:rsidR="00EC4F93" w:rsidRDefault="00EC4F93">
      <w:pPr>
        <w:spacing w:before="120" w:line="288" w:lineRule="auto"/>
        <w:jc w:val="both"/>
        <w:rPr>
          <w:rFonts w:ascii="Arial" w:eastAsia="Times New Roman" w:hAnsi="Arial" w:cs="Arial"/>
          <w:iCs/>
        </w:rPr>
      </w:pPr>
    </w:p>
    <w:p w14:paraId="353E408D" w14:textId="77777777" w:rsidR="00EC4F93" w:rsidRDefault="0098084D">
      <w:pPr>
        <w:spacing w:before="120" w:line="288" w:lineRule="auto"/>
        <w:jc w:val="both"/>
        <w:rPr>
          <w:rFonts w:ascii="Arial" w:eastAsia="Times New Roman" w:hAnsi="Arial" w:cs="Arial"/>
          <w:iCs/>
        </w:rPr>
      </w:pPr>
      <w:r>
        <w:rPr>
          <w:rFonts w:ascii="Arial" w:eastAsia="Times New Roman" w:hAnsi="Arial" w:cs="Arial"/>
          <w:iCs/>
        </w:rPr>
        <w:lastRenderedPageBreak/>
        <w:t xml:space="preserve">Si propone al Tavolo Permanente di: </w:t>
      </w:r>
    </w:p>
    <w:p w14:paraId="303F4447" w14:textId="77777777" w:rsidR="00EC4F93" w:rsidRDefault="0098084D">
      <w:pPr>
        <w:pStyle w:val="Paragrafoelenco"/>
        <w:numPr>
          <w:ilvl w:val="0"/>
          <w:numId w:val="1"/>
        </w:numPr>
        <w:spacing w:before="120" w:line="288" w:lineRule="auto"/>
        <w:jc w:val="both"/>
        <w:rPr>
          <w:rFonts w:ascii="Arial" w:eastAsia="Times New Roman" w:hAnsi="Arial" w:cs="Arial"/>
          <w:iCs/>
        </w:rPr>
      </w:pPr>
      <w:r>
        <w:rPr>
          <w:rFonts w:ascii="Arial" w:eastAsia="Times New Roman" w:hAnsi="Arial" w:cs="Arial"/>
          <w:iCs/>
        </w:rPr>
        <w:t>Facilitare/favorire percorsi di aggregazione da parte dei soggetti dell’economia solidale con tutte le parti interessate (cittadini e Amministrazioni Pubbliche);</w:t>
      </w:r>
    </w:p>
    <w:p w14:paraId="062B3695" w14:textId="77777777" w:rsidR="00EC4F93" w:rsidRDefault="0098084D">
      <w:pPr>
        <w:pStyle w:val="Paragrafoelenco"/>
        <w:numPr>
          <w:ilvl w:val="0"/>
          <w:numId w:val="1"/>
        </w:numPr>
        <w:spacing w:before="120" w:line="288" w:lineRule="auto"/>
        <w:jc w:val="both"/>
        <w:rPr>
          <w:rFonts w:ascii="Arial" w:eastAsia="Times New Roman" w:hAnsi="Arial" w:cs="Arial"/>
          <w:iCs/>
        </w:rPr>
      </w:pPr>
      <w:r>
        <w:rPr>
          <w:rFonts w:ascii="Arial" w:eastAsia="Times New Roman" w:hAnsi="Arial" w:cs="Arial"/>
          <w:iCs/>
        </w:rPr>
        <w:t xml:space="preserve">Definire strategie, strumenti ed obiettivi generali da raggiungere a livello regionale, in termini di conversione energetica, </w:t>
      </w:r>
      <w:proofErr w:type="spellStart"/>
      <w:r>
        <w:rPr>
          <w:rFonts w:ascii="Arial" w:eastAsia="Times New Roman" w:hAnsi="Arial" w:cs="Arial"/>
          <w:iCs/>
        </w:rPr>
        <w:t>efficientamento</w:t>
      </w:r>
      <w:proofErr w:type="spellEnd"/>
      <w:r>
        <w:rPr>
          <w:rFonts w:ascii="Arial" w:eastAsia="Times New Roman" w:hAnsi="Arial" w:cs="Arial"/>
          <w:iCs/>
        </w:rPr>
        <w:t xml:space="preserve"> attivo attraverso strumenti di Building Automation (</w:t>
      </w:r>
      <w:proofErr w:type="spellStart"/>
      <w:r>
        <w:rPr>
          <w:rFonts w:ascii="Arial" w:eastAsia="Times New Roman" w:hAnsi="Arial" w:cs="Arial"/>
          <w:iCs/>
        </w:rPr>
        <w:t>vd</w:t>
      </w:r>
      <w:proofErr w:type="spellEnd"/>
      <w:r>
        <w:rPr>
          <w:rFonts w:ascii="Arial" w:eastAsia="Times New Roman" w:hAnsi="Arial" w:cs="Arial"/>
          <w:iCs/>
        </w:rPr>
        <w:t>. Art.2 punto f. del D.M. MISE “Requisiti” del 06/08/2020) e Comunità Energetiche Rinnovabili e solidali per arrivare ai 3 obiettivi indicati;</w:t>
      </w:r>
    </w:p>
    <w:p w14:paraId="42D99CFD" w14:textId="77777777" w:rsidR="00EC4F93" w:rsidRDefault="0098084D">
      <w:pPr>
        <w:pStyle w:val="Paragrafoelenco"/>
        <w:numPr>
          <w:ilvl w:val="0"/>
          <w:numId w:val="1"/>
        </w:numPr>
        <w:spacing w:before="120" w:line="288" w:lineRule="auto"/>
        <w:jc w:val="both"/>
        <w:rPr>
          <w:rFonts w:ascii="Arial" w:eastAsia="Times New Roman" w:hAnsi="Arial" w:cs="Arial"/>
          <w:iCs/>
        </w:rPr>
      </w:pPr>
      <w:r>
        <w:rPr>
          <w:rFonts w:ascii="Arial" w:eastAsia="Times New Roman" w:hAnsi="Arial" w:cs="Arial"/>
          <w:iCs/>
        </w:rPr>
        <w:t>Promuovere l’avvio di percorsi di trasformazione nei territori della Regione definendo strumenti, strategie, obiettivi generali e parziali da raggiungere obbligatoriamente in ogni Comune, finalizzati ai 3 obiettivi indicati;</w:t>
      </w:r>
    </w:p>
    <w:p w14:paraId="31686BDB" w14:textId="77777777" w:rsidR="00EC4F93" w:rsidRDefault="0098084D">
      <w:pPr>
        <w:pStyle w:val="Paragrafoelenco"/>
        <w:numPr>
          <w:ilvl w:val="0"/>
          <w:numId w:val="1"/>
        </w:numPr>
        <w:spacing w:before="120" w:line="288" w:lineRule="auto"/>
        <w:jc w:val="both"/>
        <w:rPr>
          <w:rFonts w:ascii="Arial" w:eastAsia="Times New Roman" w:hAnsi="Arial" w:cs="Arial"/>
          <w:iCs/>
        </w:rPr>
      </w:pPr>
      <w:r>
        <w:rPr>
          <w:rFonts w:ascii="Arial" w:eastAsia="Times New Roman" w:hAnsi="Arial" w:cs="Arial"/>
          <w:iCs/>
        </w:rPr>
        <w:t>Promuovere percorsi di riduzione dell'uso delle risorse, di sostituzione della produzione di beni con forniture di servizi, di pieno riciclaggio degli scarti;</w:t>
      </w:r>
    </w:p>
    <w:p w14:paraId="0DFE7126" w14:textId="77777777" w:rsidR="00EC4F93" w:rsidRDefault="0098084D">
      <w:pPr>
        <w:pStyle w:val="Paragrafoelenco"/>
        <w:numPr>
          <w:ilvl w:val="0"/>
          <w:numId w:val="1"/>
        </w:numPr>
        <w:spacing w:before="120" w:line="288" w:lineRule="auto"/>
        <w:jc w:val="both"/>
        <w:rPr>
          <w:rFonts w:ascii="Arial" w:eastAsia="Times New Roman" w:hAnsi="Arial" w:cs="Arial"/>
          <w:iCs/>
        </w:rPr>
      </w:pPr>
      <w:r>
        <w:rPr>
          <w:rFonts w:ascii="Arial" w:eastAsia="Times New Roman" w:hAnsi="Arial" w:cs="Arial"/>
          <w:iCs/>
        </w:rPr>
        <w:t xml:space="preserve">Mettere in atto meccanismi automatici di debiti per i territori che non rispettano gli obiettivi e di crediti per i territori virtuosi, e all'interno dei territori fra le diverse utenze, basati per esempio sulle emissioni di CO2, con meccanismi simili alla tariffa puntuale dei rifiuti e al suo fondo incentivante, </w:t>
      </w:r>
      <w:r>
        <w:rPr>
          <w:rFonts w:ascii="Arial" w:eastAsia="Times New Roman" w:hAnsi="Arial" w:cs="Arial"/>
          <w:iCs/>
          <w:color w:val="0000FF"/>
        </w:rPr>
        <w:t>tenendo in considerazione anche l'utilizzo di indicatori (es. ISEE).</w:t>
      </w:r>
    </w:p>
    <w:p w14:paraId="7547884E" w14:textId="77777777" w:rsidR="00EC4F93" w:rsidRDefault="0098084D">
      <w:pPr>
        <w:pStyle w:val="Paragrafoelenco"/>
        <w:numPr>
          <w:ilvl w:val="0"/>
          <w:numId w:val="1"/>
        </w:numPr>
        <w:spacing w:before="120" w:line="288" w:lineRule="auto"/>
        <w:jc w:val="both"/>
        <w:rPr>
          <w:rFonts w:ascii="Arial" w:eastAsia="Times New Roman" w:hAnsi="Arial" w:cs="Arial"/>
          <w:iCs/>
        </w:rPr>
      </w:pPr>
      <w:r>
        <w:rPr>
          <w:rFonts w:ascii="Arial" w:eastAsia="Times New Roman" w:hAnsi="Arial" w:cs="Arial"/>
          <w:iCs/>
        </w:rPr>
        <w:t>Avviare campagne di sensibilizzazione e consapevolezza attraverso i soggetti dell’economia solidale già presenti sui territori, sull’urgenza e la necessità inderogabile di avviare processi di trasformazione;</w:t>
      </w:r>
    </w:p>
    <w:p w14:paraId="54451FCE" w14:textId="77777777" w:rsidR="00EC4F93" w:rsidRDefault="0098084D">
      <w:pPr>
        <w:pStyle w:val="Paragrafoelenco"/>
        <w:numPr>
          <w:ilvl w:val="0"/>
          <w:numId w:val="1"/>
        </w:numPr>
        <w:spacing w:before="120" w:line="288" w:lineRule="auto"/>
        <w:jc w:val="both"/>
        <w:rPr>
          <w:rFonts w:ascii="Arial" w:eastAsia="Times New Roman" w:hAnsi="Arial" w:cs="Arial"/>
          <w:iCs/>
        </w:rPr>
      </w:pPr>
      <w:r>
        <w:rPr>
          <w:rFonts w:ascii="Arial" w:eastAsia="Times New Roman" w:hAnsi="Arial" w:cs="Arial"/>
          <w:iCs/>
        </w:rPr>
        <w:t xml:space="preserve">Mettere in campo risorse per garantire la compilazione della Banca Dati del </w:t>
      </w:r>
      <w:proofErr w:type="spellStart"/>
      <w:r>
        <w:rPr>
          <w:rFonts w:ascii="Arial" w:eastAsia="Times New Roman" w:hAnsi="Arial" w:cs="Arial"/>
          <w:iCs/>
        </w:rPr>
        <w:t>critER</w:t>
      </w:r>
      <w:proofErr w:type="spellEnd"/>
      <w:r>
        <w:rPr>
          <w:rFonts w:ascii="Arial" w:eastAsia="Times New Roman" w:hAnsi="Arial" w:cs="Arial"/>
          <w:iCs/>
        </w:rPr>
        <w:t xml:space="preserve"> e il suo aggiornamento costante;</w:t>
      </w:r>
    </w:p>
    <w:p w14:paraId="7AE20B42" w14:textId="77777777" w:rsidR="00EC4F93" w:rsidRDefault="0098084D">
      <w:pPr>
        <w:pStyle w:val="Paragrafoelenco"/>
        <w:numPr>
          <w:ilvl w:val="0"/>
          <w:numId w:val="1"/>
        </w:numPr>
        <w:spacing w:before="120" w:line="288" w:lineRule="auto"/>
        <w:jc w:val="both"/>
        <w:rPr>
          <w:rFonts w:ascii="Arial" w:eastAsia="Times New Roman" w:hAnsi="Arial" w:cs="Arial"/>
          <w:iCs/>
        </w:rPr>
      </w:pPr>
      <w:r>
        <w:rPr>
          <w:rFonts w:ascii="Arial" w:eastAsia="Times New Roman" w:hAnsi="Arial" w:cs="Arial"/>
          <w:iCs/>
        </w:rPr>
        <w:t>Istituire un Fascicolo Elettronico Energetico che, al pari dell’omologo Sanitario, consenta a ogni cittadino di accedere, attraverso autenticazione SPID, a tutte le proprie informazioni energetiche come, a puro titolo di esempio non esaustivo, ai propri Attestati di Prestazione Energetica (APE), ai propri dati presenti nel Catasto Regionale Impianti Termici (</w:t>
      </w:r>
      <w:proofErr w:type="spellStart"/>
      <w:r>
        <w:rPr>
          <w:rFonts w:ascii="Arial" w:eastAsia="Times New Roman" w:hAnsi="Arial" w:cs="Arial"/>
          <w:iCs/>
        </w:rPr>
        <w:t>critER</w:t>
      </w:r>
      <w:proofErr w:type="spellEnd"/>
      <w:r>
        <w:rPr>
          <w:rFonts w:ascii="Arial" w:eastAsia="Times New Roman" w:hAnsi="Arial" w:cs="Arial"/>
          <w:iCs/>
        </w:rPr>
        <w:t>), alle informazioni relative alla propria Cabina di trasformazione da Media a Bassa tensione;</w:t>
      </w:r>
    </w:p>
    <w:p w14:paraId="4CD6D29F" w14:textId="77777777" w:rsidR="00EC4F93" w:rsidRDefault="0098084D">
      <w:pPr>
        <w:pStyle w:val="Paragrafoelenco"/>
        <w:numPr>
          <w:ilvl w:val="0"/>
          <w:numId w:val="1"/>
        </w:numPr>
        <w:spacing w:before="120" w:line="288" w:lineRule="auto"/>
        <w:jc w:val="both"/>
        <w:rPr>
          <w:rFonts w:ascii="Arial" w:eastAsia="Times New Roman" w:hAnsi="Arial" w:cs="Arial"/>
          <w:iCs/>
        </w:rPr>
      </w:pPr>
      <w:r>
        <w:rPr>
          <w:rFonts w:ascii="Arial" w:eastAsia="Times New Roman" w:hAnsi="Arial" w:cs="Arial"/>
          <w:iCs/>
        </w:rPr>
        <w:t>Elaborare proposte che coadiuvino la Regione nella promozione ed incentivazione di percorsi delle Amministrazioni Pubbliche comunali verso l'applicazione di un modello in grado di incidere sulla transizione energetica, dalle fonti fossili alle rinnovabili;</w:t>
      </w:r>
    </w:p>
    <w:p w14:paraId="685AEA1D" w14:textId="77777777" w:rsidR="00EC4F93" w:rsidRDefault="0098084D">
      <w:pPr>
        <w:pStyle w:val="Paragrafoelenco"/>
        <w:numPr>
          <w:ilvl w:val="0"/>
          <w:numId w:val="1"/>
        </w:numPr>
        <w:spacing w:before="120" w:line="288" w:lineRule="auto"/>
        <w:jc w:val="both"/>
        <w:rPr>
          <w:rFonts w:ascii="Arial" w:eastAsia="Times New Roman" w:hAnsi="Arial" w:cs="Arial"/>
          <w:iCs/>
        </w:rPr>
      </w:pPr>
      <w:r>
        <w:rPr>
          <w:rFonts w:ascii="Arial" w:eastAsia="Times New Roman" w:hAnsi="Arial" w:cs="Arial"/>
          <w:iCs/>
          <w:kern w:val="2"/>
          <w:lang w:eastAsia="zh-CN" w:bidi="hi-IN"/>
        </w:rPr>
        <w:t>R</w:t>
      </w:r>
      <w:r>
        <w:rPr>
          <w:rFonts w:ascii="Arial" w:eastAsia="Times New Roman" w:hAnsi="Arial" w:cs="Arial"/>
          <w:shd w:val="clear" w:color="auto" w:fill="FFFFFF"/>
        </w:rPr>
        <w:t xml:space="preserve">endere disponibili ai cittadini degli strumenti (siti, brochure, spot radiofonici, …) e spazi comunali che forniscano informazioni su </w:t>
      </w:r>
      <w:proofErr w:type="spellStart"/>
      <w:r>
        <w:rPr>
          <w:rFonts w:ascii="Arial" w:eastAsia="Times New Roman" w:hAnsi="Arial" w:cs="Arial"/>
          <w:shd w:val="clear" w:color="auto" w:fill="FFFFFF"/>
        </w:rPr>
        <w:t>Efficientamento</w:t>
      </w:r>
      <w:proofErr w:type="spellEnd"/>
      <w:r>
        <w:rPr>
          <w:rFonts w:ascii="Arial" w:eastAsia="Times New Roman" w:hAnsi="Arial" w:cs="Arial"/>
          <w:shd w:val="clear" w:color="auto" w:fill="FFFFFF"/>
        </w:rPr>
        <w:t xml:space="preserve"> energetico e </w:t>
      </w:r>
      <w:proofErr w:type="spellStart"/>
      <w:r>
        <w:rPr>
          <w:rFonts w:ascii="Arial" w:eastAsia="Times New Roman" w:hAnsi="Arial" w:cs="Arial"/>
          <w:shd w:val="clear" w:color="auto" w:fill="FFFFFF"/>
        </w:rPr>
        <w:t>Superbonus</w:t>
      </w:r>
      <w:proofErr w:type="spellEnd"/>
      <w:r>
        <w:rPr>
          <w:rFonts w:ascii="Arial" w:eastAsia="Times New Roman" w:hAnsi="Arial" w:cs="Arial"/>
          <w:shd w:val="clear" w:color="auto" w:fill="FFFFFF"/>
        </w:rPr>
        <w:t xml:space="preserve"> 110%, in cui vengano evidenziati non soltanto l’opportunità di intervento “a costo quasi 0” ma anche i vantaggi derivanti da un reale accesso ai dati di produzione e consumo (produzione e consumo consapevole) anche attraverso l’adozione di strumenti di Building Automation. </w:t>
      </w:r>
    </w:p>
    <w:p w14:paraId="02D437E6" w14:textId="77777777" w:rsidR="00EC4F93" w:rsidRDefault="0098084D">
      <w:pPr>
        <w:pStyle w:val="Paragrafoelenco"/>
        <w:numPr>
          <w:ilvl w:val="0"/>
          <w:numId w:val="1"/>
        </w:numPr>
        <w:spacing w:before="120" w:line="288" w:lineRule="auto"/>
        <w:jc w:val="both"/>
        <w:rPr>
          <w:rFonts w:ascii="Arial" w:eastAsia="Times New Roman" w:hAnsi="Arial" w:cs="Arial"/>
          <w:shd w:val="clear" w:color="auto" w:fill="FFFFFF"/>
        </w:rPr>
      </w:pPr>
      <w:r>
        <w:rPr>
          <w:rFonts w:ascii="Arial" w:eastAsia="Times New Roman" w:hAnsi="Arial" w:cs="Arial"/>
          <w:shd w:val="clear" w:color="auto" w:fill="FFFFFF"/>
        </w:rPr>
        <w:t>Costituire un “fondo premiante”, alimentato per esempio da prelievi sulle emissioni di gas climalteranti, accessibile per chiunque voglia attuare trasformazioni energetiche verso gli obiettivi;</w:t>
      </w:r>
    </w:p>
    <w:p w14:paraId="22713278" w14:textId="77777777" w:rsidR="00EC4F93" w:rsidRDefault="0098084D">
      <w:pPr>
        <w:pStyle w:val="Paragrafoelenco"/>
        <w:numPr>
          <w:ilvl w:val="0"/>
          <w:numId w:val="1"/>
        </w:numPr>
        <w:spacing w:before="120" w:line="288" w:lineRule="auto"/>
        <w:jc w:val="both"/>
        <w:rPr>
          <w:rFonts w:ascii="Arial" w:hAnsi="Arial"/>
          <w:color w:val="0000FF"/>
        </w:rPr>
      </w:pPr>
      <w:r>
        <w:rPr>
          <w:rFonts w:ascii="Arial" w:eastAsia="Times New Roman" w:hAnsi="Arial" w:cs="Arial"/>
          <w:color w:val="0000FF"/>
          <w:shd w:val="clear" w:color="auto" w:fill="FFFFFF"/>
        </w:rPr>
        <w:t>Avviare una ricognizione da un punto di vista energetico di tutte le principali problematiche e risorse di ogni territorio tramite il coinvolgimento di tutti gli stakeholder ter</w:t>
      </w:r>
      <w:r>
        <w:rPr>
          <w:rFonts w:ascii="Arial" w:eastAsia="Times New Roman" w:hAnsi="Arial" w:cs="Arial"/>
          <w:color w:val="0000FF"/>
          <w:shd w:val="clear" w:color="auto" w:fill="FFFFFF"/>
        </w:rPr>
        <w:lastRenderedPageBreak/>
        <w:t xml:space="preserve">ritoriali: dall’amministrazione pubblica, al mondo produttivo e dei </w:t>
      </w:r>
      <w:proofErr w:type="gramStart"/>
      <w:r>
        <w:rPr>
          <w:rFonts w:ascii="Arial" w:eastAsia="Times New Roman" w:hAnsi="Arial" w:cs="Arial"/>
          <w:color w:val="0000FF"/>
          <w:shd w:val="clear" w:color="auto" w:fill="FFFFFF"/>
        </w:rPr>
        <w:t>servizi,  alle</w:t>
      </w:r>
      <w:proofErr w:type="gramEnd"/>
      <w:r>
        <w:rPr>
          <w:rFonts w:ascii="Arial" w:eastAsia="Times New Roman" w:hAnsi="Arial" w:cs="Arial"/>
          <w:color w:val="0000FF"/>
          <w:shd w:val="clear" w:color="auto" w:fill="FFFFFF"/>
        </w:rPr>
        <w:t xml:space="preserve"> associazioni di categoria e a quelle non profit e  alla cittadinanza più in generale, sul modello delle azioni per Agenda 21 con facilitatori altamente qualificati per stimolare la partecipazione dal basso.”</w:t>
      </w:r>
    </w:p>
    <w:p w14:paraId="6BA9FD1C" w14:textId="77777777" w:rsidR="00EC4F93" w:rsidRDefault="0098084D">
      <w:pPr>
        <w:pStyle w:val="Paragrafoelenco"/>
        <w:numPr>
          <w:ilvl w:val="0"/>
          <w:numId w:val="1"/>
        </w:numPr>
        <w:spacing w:before="120" w:line="288" w:lineRule="auto"/>
        <w:jc w:val="both"/>
        <w:rPr>
          <w:rFonts w:ascii="Arial" w:eastAsia="Times New Roman" w:hAnsi="Arial" w:cs="Arial"/>
          <w:shd w:val="clear" w:color="auto" w:fill="FFFFFF"/>
        </w:rPr>
      </w:pPr>
      <w:r>
        <w:rPr>
          <w:rFonts w:ascii="Arial" w:eastAsia="Times New Roman" w:hAnsi="Arial" w:cs="Arial"/>
          <w:shd w:val="clear" w:color="auto" w:fill="FFFFFF"/>
        </w:rPr>
        <w:t xml:space="preserve">Creazione di una infrastruttura pilota, ad esempio attraverso Lepida, che consenta un collegamento telematico con i settori civile e terziario per la raccolta dei dati provenienti da dispositivi </w:t>
      </w:r>
      <w:proofErr w:type="spellStart"/>
      <w:r>
        <w:rPr>
          <w:rFonts w:ascii="Arial" w:eastAsia="Times New Roman" w:hAnsi="Arial" w:cs="Arial"/>
          <w:shd w:val="clear" w:color="auto" w:fill="FFFFFF"/>
        </w:rPr>
        <w:t>IoT</w:t>
      </w:r>
      <w:proofErr w:type="spellEnd"/>
      <w:r>
        <w:rPr>
          <w:rFonts w:ascii="Arial" w:eastAsia="Times New Roman" w:hAnsi="Arial" w:cs="Arial"/>
          <w:shd w:val="clear" w:color="auto" w:fill="FFFFFF"/>
        </w:rPr>
        <w:t>, di interfaccia di impianti e di Building Automation.</w:t>
      </w:r>
    </w:p>
    <w:p w14:paraId="73601201" w14:textId="77777777" w:rsidR="00EC4F93" w:rsidRDefault="00EC4F93">
      <w:pPr>
        <w:pStyle w:val="Rigadintestazione"/>
        <w:jc w:val="both"/>
        <w:rPr>
          <w:rFonts w:ascii="Arial" w:eastAsia="DejaVu Sans" w:hAnsi="Arial" w:cs="Arial"/>
          <w:b/>
          <w:bCs/>
          <w:sz w:val="28"/>
          <w:szCs w:val="28"/>
          <w:lang w:bidi="ar-SA"/>
        </w:rPr>
      </w:pPr>
    </w:p>
    <w:p w14:paraId="479FB3DD" w14:textId="77777777" w:rsidR="00EC4F93" w:rsidRDefault="0098084D">
      <w:pPr>
        <w:pStyle w:val="Rigadintestazione"/>
        <w:jc w:val="both"/>
        <w:rPr>
          <w:rFonts w:ascii="Arial" w:hAnsi="Arial" w:cs="Arial"/>
        </w:rPr>
      </w:pPr>
      <w:r>
        <w:rPr>
          <w:rFonts w:ascii="Arial" w:eastAsia="DejaVu Sans" w:hAnsi="Arial" w:cs="Arial"/>
          <w:b/>
          <w:bCs/>
          <w:sz w:val="28"/>
          <w:szCs w:val="28"/>
          <w:lang w:bidi="ar-SA"/>
        </w:rPr>
        <w:t>Perché è utile</w:t>
      </w:r>
      <w:r>
        <w:rPr>
          <w:rFonts w:ascii="Arial" w:eastAsia="DejaVu Sans" w:hAnsi="Arial" w:cs="Arial"/>
          <w:b/>
          <w:bCs/>
          <w:lang w:bidi="ar-SA"/>
        </w:rPr>
        <w:t xml:space="preserve"> </w:t>
      </w:r>
    </w:p>
    <w:p w14:paraId="54C3F6BB" w14:textId="77777777" w:rsidR="00EC4F93" w:rsidRDefault="0098084D">
      <w:pPr>
        <w:spacing w:before="120" w:line="288" w:lineRule="auto"/>
        <w:jc w:val="both"/>
        <w:rPr>
          <w:rFonts w:ascii="Arial" w:eastAsia="Times New Roman" w:hAnsi="Arial" w:cs="Arial"/>
          <w:iCs/>
        </w:rPr>
      </w:pPr>
      <w:r>
        <w:rPr>
          <w:rFonts w:ascii="Arial" w:eastAsia="Times New Roman" w:hAnsi="Arial" w:cs="Arial"/>
          <w:iCs/>
        </w:rPr>
        <w:t>Il perseguimento delle proposte conduce ad una maggiore coesione sociale ponendo l’attenzione sul “Bene Comune” proponendosi non soltanto obiettivi di sviluppo meramente economico quanto piuttosto di sviluppo della Cultura attraverso la quale incrementare la “</w:t>
      </w:r>
      <w:proofErr w:type="spellStart"/>
      <w:r>
        <w:rPr>
          <w:rFonts w:ascii="Arial" w:eastAsia="Times New Roman" w:hAnsi="Arial" w:cs="Arial"/>
          <w:iCs/>
        </w:rPr>
        <w:t>solidalità</w:t>
      </w:r>
      <w:proofErr w:type="spellEnd"/>
      <w:r>
        <w:rPr>
          <w:rFonts w:ascii="Arial" w:eastAsia="Times New Roman" w:hAnsi="Arial" w:cs="Arial"/>
          <w:iCs/>
        </w:rPr>
        <w:t xml:space="preserve">” di tutti gli abitanti di un territorio (in questo caso emiliano-romagnolo).  </w:t>
      </w:r>
    </w:p>
    <w:p w14:paraId="7CDD4EC7" w14:textId="77777777" w:rsidR="00EC4F93" w:rsidRDefault="00EC4F93">
      <w:pPr>
        <w:pStyle w:val="Rigadintestazione"/>
        <w:jc w:val="both"/>
        <w:rPr>
          <w:rFonts w:ascii="Arial" w:eastAsia="DejaVu Sans" w:hAnsi="Arial" w:cs="Arial"/>
          <w:b/>
          <w:bCs/>
          <w:lang w:bidi="ar-SA"/>
        </w:rPr>
      </w:pPr>
    </w:p>
    <w:p w14:paraId="5124293E" w14:textId="77777777" w:rsidR="00EC4F93" w:rsidRDefault="0098084D">
      <w:pPr>
        <w:pStyle w:val="Rigadintestazione"/>
        <w:jc w:val="both"/>
        <w:rPr>
          <w:rFonts w:ascii="Arial" w:hAnsi="Arial" w:cs="Arial"/>
          <w:sz w:val="28"/>
          <w:szCs w:val="28"/>
        </w:rPr>
      </w:pPr>
      <w:r>
        <w:rPr>
          <w:rFonts w:ascii="Arial" w:eastAsia="DejaVu Sans" w:hAnsi="Arial" w:cs="Arial"/>
          <w:b/>
          <w:bCs/>
          <w:sz w:val="28"/>
          <w:szCs w:val="28"/>
          <w:lang w:bidi="ar-SA"/>
        </w:rPr>
        <w:t>Beneficiari</w:t>
      </w:r>
    </w:p>
    <w:p w14:paraId="734F2096" w14:textId="77777777" w:rsidR="00EC4F93" w:rsidRDefault="0098084D">
      <w:pPr>
        <w:spacing w:before="120" w:line="288" w:lineRule="auto"/>
        <w:jc w:val="both"/>
        <w:rPr>
          <w:rFonts w:ascii="Arial" w:eastAsia="Times New Roman" w:hAnsi="Arial" w:cs="Arial"/>
          <w:iCs/>
        </w:rPr>
      </w:pPr>
      <w:r>
        <w:rPr>
          <w:rFonts w:ascii="Arial" w:eastAsia="Times New Roman" w:hAnsi="Arial" w:cs="Arial"/>
          <w:iCs/>
        </w:rPr>
        <w:t>Cittadini, aziende, comunità, Istituzioni comunali e regionali.</w:t>
      </w:r>
    </w:p>
    <w:p w14:paraId="3DA21E5E" w14:textId="77777777" w:rsidR="00EC4F93" w:rsidRDefault="00EC4F93">
      <w:pPr>
        <w:pStyle w:val="Rigadintestazione"/>
        <w:jc w:val="both"/>
        <w:rPr>
          <w:rFonts w:ascii="Arial" w:eastAsia="DejaVu Sans" w:hAnsi="Arial" w:cs="Arial"/>
          <w:b/>
          <w:bCs/>
          <w:lang w:bidi="ar-SA"/>
        </w:rPr>
      </w:pPr>
    </w:p>
    <w:p w14:paraId="0F73CA01" w14:textId="77777777" w:rsidR="00EC4F93" w:rsidRDefault="0098084D">
      <w:pPr>
        <w:pStyle w:val="Rigadintestazione"/>
        <w:jc w:val="both"/>
        <w:rPr>
          <w:rFonts w:ascii="Arial" w:hAnsi="Arial" w:cs="Arial"/>
          <w:sz w:val="28"/>
          <w:szCs w:val="28"/>
        </w:rPr>
      </w:pPr>
      <w:r>
        <w:rPr>
          <w:rFonts w:ascii="Arial" w:eastAsia="DejaVu Sans" w:hAnsi="Arial" w:cs="Arial"/>
          <w:b/>
          <w:bCs/>
          <w:sz w:val="28"/>
          <w:szCs w:val="28"/>
          <w:lang w:bidi="ar-SA"/>
        </w:rPr>
        <w:t>Cosa serve per metterla in atto</w:t>
      </w:r>
    </w:p>
    <w:p w14:paraId="68193146" w14:textId="77777777" w:rsidR="00EC4F93" w:rsidRDefault="0098084D">
      <w:pPr>
        <w:spacing w:before="120" w:line="288" w:lineRule="auto"/>
        <w:jc w:val="both"/>
        <w:rPr>
          <w:rFonts w:ascii="Arial" w:eastAsia="Times New Roman" w:hAnsi="Arial" w:cs="Arial"/>
          <w:iCs/>
        </w:rPr>
      </w:pPr>
      <w:r>
        <w:rPr>
          <w:rFonts w:ascii="Arial" w:eastAsia="Times New Roman" w:hAnsi="Arial" w:cs="Arial"/>
          <w:iCs/>
        </w:rPr>
        <w:t>“Animatori di rete”, luoghi pubblici in cui potersi confrontare con i cittadini, approfondimenti sui disposti normativi e legislativi, accordi con le Istituzioni.</w:t>
      </w:r>
    </w:p>
    <w:p w14:paraId="29842B04" w14:textId="77777777" w:rsidR="00EC4F93" w:rsidRDefault="00EC4F93">
      <w:pPr>
        <w:pStyle w:val="Rigadintestazione"/>
        <w:jc w:val="both"/>
        <w:rPr>
          <w:rFonts w:ascii="Arial" w:eastAsia="DejaVu Sans" w:hAnsi="Arial" w:cs="Arial"/>
          <w:b/>
          <w:bCs/>
          <w:lang w:bidi="ar-SA"/>
        </w:rPr>
      </w:pPr>
    </w:p>
    <w:p w14:paraId="4E72F119" w14:textId="77777777" w:rsidR="00EC4F93" w:rsidRDefault="0098084D">
      <w:pPr>
        <w:pStyle w:val="Rigadintestazione"/>
        <w:jc w:val="both"/>
        <w:rPr>
          <w:rFonts w:ascii="Arial" w:hAnsi="Arial" w:cs="Arial"/>
          <w:sz w:val="28"/>
          <w:szCs w:val="28"/>
        </w:rPr>
      </w:pPr>
      <w:r>
        <w:rPr>
          <w:rFonts w:ascii="Arial" w:eastAsia="DejaVu Sans" w:hAnsi="Arial" w:cs="Arial"/>
          <w:b/>
          <w:bCs/>
          <w:sz w:val="28"/>
          <w:szCs w:val="28"/>
          <w:lang w:bidi="ar-SA"/>
        </w:rPr>
        <w:t>Chi sono i soggetti istituzionali coinvolti per l’avvio dell’idea</w:t>
      </w:r>
    </w:p>
    <w:p w14:paraId="2A983236" w14:textId="77777777" w:rsidR="00EC4F93" w:rsidRDefault="0098084D">
      <w:pPr>
        <w:spacing w:line="288" w:lineRule="auto"/>
        <w:jc w:val="both"/>
        <w:rPr>
          <w:rFonts w:ascii="Arial" w:eastAsia="Times New Roman" w:hAnsi="Arial" w:cs="Arial"/>
          <w:iCs/>
        </w:rPr>
      </w:pPr>
      <w:r>
        <w:rPr>
          <w:rFonts w:ascii="Arial" w:eastAsia="Times New Roman" w:hAnsi="Arial" w:cs="Arial"/>
          <w:iCs/>
        </w:rPr>
        <w:t>Regione; Comuni; Cittadini; Imprese.</w:t>
      </w:r>
    </w:p>
    <w:p w14:paraId="2BCB0B33" w14:textId="77777777" w:rsidR="00EC4F93" w:rsidRDefault="00EC4F93">
      <w:pPr>
        <w:pStyle w:val="Rigadintestazione"/>
        <w:jc w:val="both"/>
        <w:rPr>
          <w:rFonts w:ascii="Arial" w:eastAsia="DejaVu Sans" w:hAnsi="Arial" w:cs="Arial"/>
          <w:b/>
          <w:bCs/>
          <w:lang w:bidi="ar-SA"/>
        </w:rPr>
      </w:pPr>
    </w:p>
    <w:p w14:paraId="2779653E" w14:textId="77777777" w:rsidR="00EC4F93" w:rsidRDefault="0098084D">
      <w:pPr>
        <w:pStyle w:val="Rigadintestazione"/>
        <w:jc w:val="both"/>
        <w:rPr>
          <w:rFonts w:ascii="Arial" w:hAnsi="Arial" w:cs="Arial"/>
          <w:sz w:val="28"/>
          <w:szCs w:val="28"/>
        </w:rPr>
      </w:pPr>
      <w:r>
        <w:rPr>
          <w:rFonts w:ascii="Arial" w:eastAsia="DejaVu Sans" w:hAnsi="Arial" w:cs="Arial"/>
          <w:b/>
          <w:bCs/>
          <w:sz w:val="28"/>
          <w:szCs w:val="28"/>
          <w:lang w:bidi="ar-SA"/>
        </w:rPr>
        <w:t>Sostenibilità economica</w:t>
      </w:r>
    </w:p>
    <w:p w14:paraId="772DBA76" w14:textId="77777777" w:rsidR="00EC4F93" w:rsidRDefault="0098084D">
      <w:pPr>
        <w:spacing w:line="288" w:lineRule="auto"/>
        <w:jc w:val="both"/>
        <w:rPr>
          <w:rFonts w:ascii="Arial" w:eastAsia="Times New Roman" w:hAnsi="Arial" w:cs="Arial"/>
          <w:iCs/>
        </w:rPr>
      </w:pPr>
      <w:r>
        <w:rPr>
          <w:rFonts w:ascii="Arial" w:eastAsia="Times New Roman" w:hAnsi="Arial" w:cs="Arial"/>
          <w:iCs/>
        </w:rPr>
        <w:t>Si richiede lo stanziamento di fondi dedicati al perseguimento degli obiettivi concordati, quali ad esempio:</w:t>
      </w:r>
    </w:p>
    <w:p w14:paraId="305730E3" w14:textId="77777777" w:rsidR="00EC4F93" w:rsidRDefault="0098084D">
      <w:pPr>
        <w:pStyle w:val="Paragrafoelenco"/>
        <w:numPr>
          <w:ilvl w:val="0"/>
          <w:numId w:val="2"/>
        </w:numPr>
        <w:spacing w:line="288" w:lineRule="auto"/>
        <w:jc w:val="both"/>
        <w:rPr>
          <w:rFonts w:ascii="Arial" w:eastAsia="Times New Roman" w:hAnsi="Arial" w:cs="Arial"/>
          <w:iCs/>
        </w:rPr>
      </w:pPr>
      <w:r>
        <w:rPr>
          <w:rFonts w:ascii="Arial" w:eastAsia="Times New Roman" w:hAnsi="Arial" w:cs="Arial"/>
          <w:iCs/>
        </w:rPr>
        <w:t>Istituzione del Fascicolo Energetico;</w:t>
      </w:r>
    </w:p>
    <w:p w14:paraId="1BFB3D39" w14:textId="77777777" w:rsidR="00EC4F93" w:rsidRDefault="0098084D">
      <w:pPr>
        <w:pStyle w:val="Paragrafoelenco"/>
        <w:numPr>
          <w:ilvl w:val="0"/>
          <w:numId w:val="2"/>
        </w:numPr>
        <w:spacing w:line="288" w:lineRule="auto"/>
        <w:jc w:val="both"/>
        <w:rPr>
          <w:rFonts w:ascii="Arial" w:eastAsia="Times New Roman" w:hAnsi="Arial" w:cs="Arial"/>
          <w:iCs/>
        </w:rPr>
      </w:pPr>
      <w:r>
        <w:rPr>
          <w:rFonts w:ascii="Arial" w:eastAsia="Times New Roman" w:hAnsi="Arial" w:cs="Arial"/>
          <w:iCs/>
        </w:rPr>
        <w:t>Infrastruttura telematica pilota (es. Lepida) sui dati energetici.</w:t>
      </w:r>
    </w:p>
    <w:p w14:paraId="1068757F" w14:textId="77777777" w:rsidR="00EC4F93" w:rsidRDefault="00EC4F93">
      <w:pPr>
        <w:pStyle w:val="Rigadintestazione"/>
        <w:jc w:val="both"/>
        <w:rPr>
          <w:rFonts w:ascii="Arial" w:eastAsia="DejaVu Sans" w:hAnsi="Arial" w:cs="Arial"/>
          <w:b/>
          <w:bCs/>
          <w:lang w:bidi="ar-SA"/>
        </w:rPr>
      </w:pPr>
    </w:p>
    <w:sectPr w:rsidR="00EC4F93">
      <w:pgSz w:w="11906" w:h="16838"/>
      <w:pgMar w:top="1134" w:right="1134" w:bottom="1134" w:left="1134" w:header="0" w:footer="0" w:gutter="0"/>
      <w:cols w:space="720"/>
      <w:formProt w:val="0"/>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Liberation Serif">
    <w:altName w:val="Times New Roman"/>
    <w:panose1 w:val="020B0604020202020204"/>
    <w:charset w:val="01"/>
    <w:family w:val="roman"/>
    <w:pitch w:val="variable"/>
  </w:font>
  <w:font w:name="NSimSun">
    <w:panose1 w:val="02010609030101010101"/>
    <w:charset w:val="86"/>
    <w:family w:val="modern"/>
    <w:pitch w:val="fixed"/>
    <w:sig w:usb0="00000283" w:usb1="288F0000" w:usb2="00000016" w:usb3="00000000" w:csb0="00040001" w:csb1="00000000"/>
  </w:font>
  <w:font w:name="Lucida Sans">
    <w:altName w:val="Lucida Sans Unicode"/>
    <w:panose1 w:val="020B0602030504020204"/>
    <w:charset w:val="00"/>
    <w:family w:val="swiss"/>
    <w:pitch w:val="variable"/>
    <w:sig w:usb0="00000003" w:usb1="00000000" w:usb2="00000000" w:usb3="00000000" w:csb0="00000001" w:csb1="00000000"/>
  </w:font>
  <w:font w:name="OpenSymbol">
    <w:altName w:val="Times New Roman"/>
    <w:panose1 w:val="020B0604020202020204"/>
    <w:charset w:val="01"/>
    <w:family w:val="roman"/>
    <w:pitch w:val="variable"/>
  </w:font>
  <w:font w:name="Lucida Grande">
    <w:altName w:val="Lucida Grande"/>
    <w:panose1 w:val="020B0600040502020204"/>
    <w:charset w:val="00"/>
    <w:family w:val="swiss"/>
    <w:pitch w:val="variable"/>
    <w:sig w:usb0="E1000AEF" w:usb1="5000A1FF" w:usb2="00000000" w:usb3="00000000" w:csb0="000001BF" w:csb1="00000000"/>
  </w:font>
  <w:font w:name="Liberation Sans">
    <w:altName w:val="Arial"/>
    <w:panose1 w:val="020B0604020202020204"/>
    <w:charset w:val="01"/>
    <w:family w:val="roman"/>
    <w:pitch w:val="variable"/>
  </w:font>
  <w:font w:name="PingFang SC">
    <w:altName w:val="PingFang SC"/>
    <w:panose1 w:val="020B0400000000000000"/>
    <w:charset w:val="86"/>
    <w:family w:val="swiss"/>
    <w:notTrueType/>
    <w:pitch w:val="variable"/>
    <w:sig w:usb0="A00002FF" w:usb1="7ACFFDFB" w:usb2="00000017" w:usb3="00000000" w:csb0="00040001" w:csb1="00000000"/>
  </w:font>
  <w:font w:name="Microsoft YaHei">
    <w:panose1 w:val="020B0503020204020204"/>
    <w:charset w:val="86"/>
    <w:family w:val="swiss"/>
    <w:pitch w:val="variable"/>
    <w:sig w:usb0="80000287" w:usb1="2ACF3C52" w:usb2="00000016" w:usb3="00000000" w:csb0="0004001F" w:csb1="00000000"/>
  </w:font>
  <w:font w:name="Calibri">
    <w:panose1 w:val="020F0502020204030204"/>
    <w:charset w:val="00"/>
    <w:family w:val="swiss"/>
    <w:pitch w:val="variable"/>
    <w:sig w:usb0="E4002EFF" w:usb1="C000247B"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DejaVu Sans">
    <w:panose1 w:val="020B0604020202020204"/>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085E12"/>
    <w:multiLevelType w:val="multilevel"/>
    <w:tmpl w:val="215C186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1D47EEC"/>
    <w:multiLevelType w:val="multilevel"/>
    <w:tmpl w:val="EB5CE04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4AA25A4C"/>
    <w:multiLevelType w:val="multilevel"/>
    <w:tmpl w:val="9D8A3D8A"/>
    <w:lvl w:ilvl="0">
      <w:numFmt w:val="bullet"/>
      <w:lvlText w:val="-"/>
      <w:lvlJc w:val="left"/>
      <w:pPr>
        <w:tabs>
          <w:tab w:val="num" w:pos="0"/>
        </w:tabs>
        <w:ind w:left="720" w:hanging="360"/>
      </w:pPr>
      <w:rPr>
        <w:rFonts w:ascii="Helvetica" w:hAnsi="Helvetica" w:cs="Helvetica"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30"/>
  <w:proofState w:spelling="clean" w:grammar="clean"/>
  <w:defaultTabStop w:val="720"/>
  <w:autoHyphenation/>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F93"/>
    <w:rsid w:val="000A550C"/>
    <w:rsid w:val="0098084D"/>
    <w:rsid w:val="00EC4F93"/>
  </w:rsids>
  <m:mathPr>
    <m:mathFont m:val="Cambria Math"/>
    <m:brkBin m:val="before"/>
    <m:brkBinSub m:val="--"/>
    <m:smallFrac m:val="0"/>
    <m:dispDef/>
    <m:lMargin m:val="0"/>
    <m:rMargin m:val="0"/>
    <m:defJc m:val="centerGroup"/>
    <m:wrapIndent m:val="1440"/>
    <m:intLim m:val="subSup"/>
    <m:naryLim m:val="undOvr"/>
  </m:mathPr>
  <w:themeFontLang w:val="it-IT"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544E4"/>
  <w15:docId w15:val="{39121F11-E501-4BDF-8589-75964CAA6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Liberation Serif" w:eastAsia="NSimSun" w:hAnsi="Liberation Serif" w:cs="Lucida Sans"/>
        <w:kern w:val="2"/>
        <w:sz w:val="24"/>
        <w:szCs w:val="24"/>
        <w:lang w:val="it-I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Punti">
    <w:name w:val="Punti"/>
    <w:qFormat/>
    <w:rPr>
      <w:rFonts w:ascii="OpenSymbol" w:eastAsia="OpenSymbol" w:hAnsi="OpenSymbol" w:cs="OpenSymbol"/>
    </w:rPr>
  </w:style>
  <w:style w:type="character" w:styleId="Collegamentoipertestuale">
    <w:name w:val="Hyperlink"/>
    <w:basedOn w:val="Carpredefinitoparagrafo"/>
    <w:uiPriority w:val="99"/>
    <w:unhideWhenUsed/>
    <w:rsid w:val="006629A3"/>
    <w:rPr>
      <w:color w:val="0563C1" w:themeColor="hyperlink"/>
      <w:u w:val="single"/>
    </w:rPr>
  </w:style>
  <w:style w:type="character" w:customStyle="1" w:styleId="Menzionenonrisolta1">
    <w:name w:val="Menzione non risolta1"/>
    <w:basedOn w:val="Carpredefinitoparagrafo"/>
    <w:uiPriority w:val="99"/>
    <w:semiHidden/>
    <w:unhideWhenUsed/>
    <w:qFormat/>
    <w:rsid w:val="006629A3"/>
    <w:rPr>
      <w:color w:val="605E5C"/>
      <w:shd w:val="clear" w:color="auto" w:fill="E1DFDD"/>
    </w:rPr>
  </w:style>
  <w:style w:type="character" w:styleId="Rimandocommento">
    <w:name w:val="annotation reference"/>
    <w:basedOn w:val="Carpredefinitoparagrafo"/>
    <w:uiPriority w:val="99"/>
    <w:semiHidden/>
    <w:unhideWhenUsed/>
    <w:qFormat/>
    <w:rsid w:val="00F5699A"/>
    <w:rPr>
      <w:sz w:val="18"/>
      <w:szCs w:val="18"/>
    </w:rPr>
  </w:style>
  <w:style w:type="character" w:customStyle="1" w:styleId="TestocommentoCarattere">
    <w:name w:val="Testo commento Carattere"/>
    <w:basedOn w:val="Carpredefinitoparagrafo"/>
    <w:link w:val="Testocommento"/>
    <w:uiPriority w:val="99"/>
    <w:semiHidden/>
    <w:qFormat/>
    <w:rsid w:val="00F5699A"/>
  </w:style>
  <w:style w:type="character" w:customStyle="1" w:styleId="SoggettocommentoCarattere">
    <w:name w:val="Soggetto commento Carattere"/>
    <w:basedOn w:val="TestocommentoCarattere"/>
    <w:link w:val="Soggettocommento"/>
    <w:uiPriority w:val="99"/>
    <w:semiHidden/>
    <w:qFormat/>
    <w:rsid w:val="00F5699A"/>
    <w:rPr>
      <w:b/>
      <w:bCs/>
      <w:sz w:val="20"/>
      <w:szCs w:val="20"/>
    </w:rPr>
  </w:style>
  <w:style w:type="character" w:customStyle="1" w:styleId="TestofumettoCarattere">
    <w:name w:val="Testo fumetto Carattere"/>
    <w:basedOn w:val="Carpredefinitoparagrafo"/>
    <w:link w:val="Testofumetto"/>
    <w:uiPriority w:val="99"/>
    <w:semiHidden/>
    <w:qFormat/>
    <w:rsid w:val="00F5699A"/>
    <w:rPr>
      <w:rFonts w:ascii="Lucida Grande" w:hAnsi="Lucida Grande" w:cs="Lucida Grande"/>
      <w:sz w:val="18"/>
      <w:szCs w:val="18"/>
    </w:rPr>
  </w:style>
  <w:style w:type="paragraph" w:customStyle="1" w:styleId="Heading">
    <w:name w:val="Heading"/>
    <w:basedOn w:val="Normale"/>
    <w:next w:val="Corpotesto"/>
    <w:qFormat/>
    <w:pPr>
      <w:keepNext/>
      <w:spacing w:before="240" w:after="120"/>
    </w:pPr>
    <w:rPr>
      <w:rFonts w:ascii="Liberation Sans" w:eastAsia="PingFang SC" w:hAnsi="Liberation Sans"/>
      <w:sz w:val="28"/>
      <w:szCs w:val="28"/>
    </w:rPr>
  </w:style>
  <w:style w:type="paragraph" w:styleId="Corpotesto">
    <w:name w:val="Body Text"/>
    <w:basedOn w:val="Normale"/>
    <w:pPr>
      <w:spacing w:after="140" w:line="276" w:lineRule="auto"/>
    </w:pPr>
  </w:style>
  <w:style w:type="paragraph" w:styleId="Elenco">
    <w:name w:val="List"/>
    <w:basedOn w:val="Corpotesto"/>
  </w:style>
  <w:style w:type="paragraph" w:styleId="Didascalia">
    <w:name w:val="caption"/>
    <w:basedOn w:val="Normale"/>
    <w:qFormat/>
    <w:pPr>
      <w:suppressLineNumbers/>
      <w:spacing w:before="120" w:after="120"/>
    </w:pPr>
    <w:rPr>
      <w:i/>
      <w:iCs/>
    </w:rPr>
  </w:style>
  <w:style w:type="paragraph" w:customStyle="1" w:styleId="Index">
    <w:name w:val="Index"/>
    <w:basedOn w:val="Normale"/>
    <w:qFormat/>
    <w:pPr>
      <w:suppressLineNumbers/>
    </w:pPr>
  </w:style>
  <w:style w:type="paragraph" w:styleId="Titolo">
    <w:name w:val="Title"/>
    <w:basedOn w:val="Normale"/>
    <w:next w:val="Corpotesto"/>
    <w:qFormat/>
    <w:pPr>
      <w:keepNext/>
      <w:spacing w:before="240" w:after="120"/>
    </w:pPr>
    <w:rPr>
      <w:rFonts w:ascii="Liberation Sans" w:eastAsia="Microsoft YaHei" w:hAnsi="Liberation Sans"/>
      <w:sz w:val="28"/>
      <w:szCs w:val="28"/>
    </w:rPr>
  </w:style>
  <w:style w:type="paragraph" w:customStyle="1" w:styleId="Indice">
    <w:name w:val="Indice"/>
    <w:basedOn w:val="Normale"/>
    <w:qFormat/>
    <w:pPr>
      <w:suppressLineNumbers/>
    </w:pPr>
  </w:style>
  <w:style w:type="paragraph" w:customStyle="1" w:styleId="Rigadintestazione">
    <w:name w:val="Riga d'intestazione"/>
    <w:basedOn w:val="Normale"/>
    <w:qFormat/>
    <w:pPr>
      <w:suppressLineNumbers/>
      <w:tabs>
        <w:tab w:val="center" w:pos="4819"/>
        <w:tab w:val="right" w:pos="9638"/>
      </w:tabs>
    </w:pPr>
  </w:style>
  <w:style w:type="paragraph" w:styleId="Paragrafoelenco">
    <w:name w:val="List Paragraph"/>
    <w:basedOn w:val="Normale"/>
    <w:uiPriority w:val="34"/>
    <w:qFormat/>
    <w:rsid w:val="00AC79B6"/>
    <w:pPr>
      <w:suppressAutoHyphens w:val="0"/>
      <w:ind w:left="720"/>
      <w:contextualSpacing/>
    </w:pPr>
    <w:rPr>
      <w:rFonts w:asciiTheme="minorHAnsi" w:eastAsiaTheme="minorEastAsia" w:hAnsiTheme="minorHAnsi" w:cstheme="minorBidi"/>
      <w:kern w:val="0"/>
      <w:lang w:eastAsia="it-IT" w:bidi="ar-SA"/>
    </w:rPr>
  </w:style>
  <w:style w:type="paragraph" w:styleId="Testocommento">
    <w:name w:val="annotation text"/>
    <w:basedOn w:val="Normale"/>
    <w:link w:val="TestocommentoCarattere"/>
    <w:uiPriority w:val="99"/>
    <w:semiHidden/>
    <w:unhideWhenUsed/>
    <w:qFormat/>
    <w:rsid w:val="00F5699A"/>
  </w:style>
  <w:style w:type="paragraph" w:styleId="Soggettocommento">
    <w:name w:val="annotation subject"/>
    <w:basedOn w:val="Testocommento"/>
    <w:next w:val="Testocommento"/>
    <w:link w:val="SoggettocommentoCarattere"/>
    <w:uiPriority w:val="99"/>
    <w:semiHidden/>
    <w:unhideWhenUsed/>
    <w:qFormat/>
    <w:rsid w:val="00F5699A"/>
    <w:rPr>
      <w:b/>
      <w:bCs/>
      <w:sz w:val="20"/>
      <w:szCs w:val="20"/>
    </w:rPr>
  </w:style>
  <w:style w:type="paragraph" w:styleId="Testofumetto">
    <w:name w:val="Balloon Text"/>
    <w:basedOn w:val="Normale"/>
    <w:link w:val="TestofumettoCarattere"/>
    <w:uiPriority w:val="99"/>
    <w:semiHidden/>
    <w:unhideWhenUsed/>
    <w:qFormat/>
    <w:rsid w:val="00F5699A"/>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1040</Words>
  <Characters>5929</Characters>
  <Application>Microsoft Office Word</Application>
  <DocSecurity>0</DocSecurity>
  <Lines>49</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ladmin</dc:creator>
  <dc:description/>
  <cp:lastModifiedBy>Microsoft Office User</cp:lastModifiedBy>
  <cp:revision>2</cp:revision>
  <dcterms:created xsi:type="dcterms:W3CDTF">2021-02-11T21:41:00Z</dcterms:created>
  <dcterms:modified xsi:type="dcterms:W3CDTF">2021-02-11T21:41:00Z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